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footnotes.xml.rels" ContentType="application/vnd.openxmlformats-package.relationship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32"/>
          <w:szCs w:val="32"/>
        </w:rPr>
      </w:pPr>
      <w:r>
        <w:rPr>
          <w:rFonts w:eastAsia="Avenir Next LT Pro" w:cs="Avenir Next LT Pro" w:ascii="Avenir Heavy" w:hAnsi="Avenir Heavy"/>
          <w:b/>
          <w:bCs/>
          <w:color w:val="5A5A5A"/>
          <w:sz w:val="32"/>
          <w:szCs w:val="32"/>
          <w:u w:val="none" w:color="5A5A5A"/>
        </w:rPr>
        <w:t>CSRD</w:t>
      </w:r>
      <w:r>
        <w:rPr>
          <w:rFonts w:eastAsia="Avenir Next LT Pro" w:cs="Avenir Next LT Pro" w:ascii="Avenir Book" w:hAnsi="Avenir Book"/>
          <w:color w:val="5A5A5A"/>
          <w:sz w:val="32"/>
          <w:szCs w:val="32"/>
          <w:u w:val="none" w:color="5A5A5A"/>
        </w:rPr>
        <w:t xml:space="preserve">, </w:t>
      </w:r>
      <w:r>
        <w:rPr>
          <w:rFonts w:eastAsia="Avenir Next LT Pro" w:cs="Avenir Next LT Pro" w:ascii="Avenir Heavy" w:hAnsi="Avenir Heavy"/>
          <w:b/>
          <w:bCs/>
          <w:color w:val="5A5A5A"/>
          <w:sz w:val="32"/>
          <w:szCs w:val="32"/>
          <w:u w:val="none" w:color="5A5A5A"/>
        </w:rPr>
        <w:t>Corporate Sustainability Reporting Directive</w:t>
      </w:r>
    </w:p>
    <w:p>
      <w:pPr>
        <w:pStyle w:val="Normal"/>
        <w:rPr/>
      </w:pPr>
      <w:r>
        <w:rPr>
          <w:rFonts w:eastAsia="Avenir Next LT Pro" w:cs="Avenir Next LT Pro" w:ascii="Avenir Book" w:hAnsi="Avenir Book"/>
          <w:color w:val="5A5A5A"/>
          <w:sz w:val="34"/>
          <w:szCs w:val="34"/>
          <w:u w:val="none" w:color="5A5A5A"/>
        </w:rPr>
        <w:t xml:space="preserve">Stellungnahme der </w:t>
      </w:r>
      <w:r>
        <w:rPr>
          <w:rFonts w:eastAsia="Avenir Next LT Pro" w:cs="Avenir Next LT Pro" w:ascii="Avenir Book" w:hAnsi="Avenir Book"/>
          <w:color w:val="5A5A5A"/>
          <w:sz w:val="34"/>
          <w:szCs w:val="34"/>
          <w:highlight w:val="yellow"/>
          <w:u w:val="none" w:color="5A5A5A"/>
        </w:rPr>
        <w:t>XXX YYY</w:t>
      </w:r>
      <w:r>
        <w:rPr>
          <w:rFonts w:eastAsia="Avenir Next LT Pro" w:cs="Avenir Next LT Pro" w:ascii="Avenir Book" w:hAnsi="Avenir Book"/>
          <w:color w:val="5A5A5A"/>
          <w:sz w:val="34"/>
          <w:szCs w:val="34"/>
          <w:u w:val="none" w:color="5A5A5A"/>
        </w:rPr>
        <w:t xml:space="preserve"> zum Vorschlag der Europäischen Kommission für eine Richtlinie über die Nachhaltigkeitsberichterstattung von Unternehmen</w:t>
      </w:r>
    </w:p>
    <w:p>
      <w:pPr>
        <w:pStyle w:val="Normal"/>
        <w:rPr>
          <w:rFonts w:ascii="Avenir Medium" w:hAnsi="Avenir Medium" w:eastAsia="Avenir Next LT Pro" w:cs="Avenir Next LT Pro"/>
          <w:color w:val="4472C4" w:themeColor="accent1"/>
          <w:sz w:val="20"/>
          <w:szCs w:val="20"/>
          <w:u w:val="none" w:color="889E33"/>
        </w:rPr>
      </w:pPr>
      <w:r>
        <w:rPr>
          <w:rFonts w:eastAsia="Avenir Next LT Pro" w:cs="Avenir Next LT Pro" w:ascii="Avenir Medium" w:hAnsi="Avenir Medium"/>
          <w:color w:val="4472C4" w:themeColor="accent1"/>
          <w:sz w:val="20"/>
          <w:szCs w:val="20"/>
          <w:u w:val="none" w:color="889E33"/>
        </w:rPr>
      </w:r>
    </w:p>
    <w:p>
      <w:pPr>
        <w:pStyle w:val="Normal"/>
        <w:rPr>
          <w:color w:val="4472C4" w:themeColor="accent1"/>
        </w:rPr>
      </w:pPr>
      <w:r>
        <w:rPr>
          <w:rFonts w:eastAsia="Avenir Next LT Pro" w:cs="Avenir Next LT Pro" w:ascii="Avenir Heavy" w:hAnsi="Avenir Heavy"/>
          <w:b/>
          <w:bCs/>
          <w:color w:val="4472C4" w:themeColor="accent1"/>
          <w:sz w:val="22"/>
          <w:szCs w:val="22"/>
        </w:rPr>
        <w:t xml:space="preserve">Am 21. April 2021 legte die EU-Kommission ihren Vorschlag für die Revision der Richtlinie über nicht-finanzielle Berichterstattung (alt NFRD, neu CSRD) vor. Das Ministerium für Justiz Österreichs hat am 23. April 2021 die interessierten Parteien schriftlich eingeladen, Ihre „Anmerkungen“ zu diesem Vorschlag bzw. der CSRD-Richtlinie bis 15. Juni 2021 zu übermitteln. </w:t>
      </w:r>
    </w:p>
    <w:p>
      <w:pPr>
        <w:pStyle w:val="Normal"/>
        <w:rPr>
          <w:color w:val="4472C4" w:themeColor="accent1"/>
        </w:rPr>
      </w:pPr>
      <w:r>
        <w:rPr>
          <w:rFonts w:eastAsia="Avenir Next LT Pro" w:cs="Avenir Next LT Pro" w:ascii="Avenir Heavy" w:hAnsi="Avenir Heavy"/>
          <w:b/>
          <w:bCs/>
          <w:color w:val="4472C4" w:themeColor="accent1"/>
          <w:sz w:val="22"/>
          <w:szCs w:val="22"/>
          <w:highlight w:val="yellow"/>
        </w:rPr>
        <w:t>XXX YYY</w:t>
      </w:r>
      <w:r>
        <w:rPr>
          <w:rFonts w:eastAsia="Avenir Next LT Pro" w:cs="Avenir Next LT Pro" w:ascii="Avenir Heavy" w:hAnsi="Avenir Heavy"/>
          <w:b/>
          <w:bCs/>
          <w:color w:val="4472C4" w:themeColor="accent1"/>
          <w:sz w:val="22"/>
          <w:szCs w:val="22"/>
        </w:rPr>
        <w:t xml:space="preserve"> kommt der Einladung mit dieser Stellungnahme nach.</w:t>
      </w:r>
    </w:p>
    <w:p>
      <w:pPr>
        <w:pStyle w:val="Default"/>
        <w:ind w:right="113" w:hanging="0"/>
        <w:jc w:val="both"/>
        <w:rPr>
          <w:rFonts w:ascii="Avenir Book" w:hAnsi="Avenir Book"/>
          <w:b/>
          <w:b/>
          <w:bCs/>
          <w:color w:val="5A5A5A"/>
          <w:sz w:val="20"/>
          <w:szCs w:val="20"/>
        </w:rPr>
      </w:pPr>
      <w:r>
        <w:rPr>
          <w:rFonts w:ascii="Avenir Book" w:hAnsi="Avenir Book"/>
          <w:b/>
          <w:bCs/>
          <w:color w:val="5A5A5A"/>
          <w:sz w:val="20"/>
          <w:szCs w:val="20"/>
        </w:rPr>
      </w:r>
    </w:p>
    <w:p>
      <w:pPr>
        <w:pStyle w:val="Default"/>
        <w:ind w:right="113" w:hanging="0"/>
        <w:jc w:val="both"/>
        <w:rPr>
          <w:rFonts w:ascii="Avenir Book" w:hAnsi="Avenir Book"/>
          <w:b/>
          <w:b/>
          <w:bCs/>
          <w:color w:val="5A5A5A"/>
          <w:sz w:val="20"/>
          <w:szCs w:val="20"/>
        </w:rPr>
      </w:pPr>
      <w:r>
        <w:rPr>
          <w:rFonts w:ascii="Avenir Book" w:hAnsi="Avenir Book"/>
          <w:b/>
          <w:bCs/>
          <w:color w:val="5A5A5A"/>
          <w:sz w:val="20"/>
          <w:szCs w:val="20"/>
        </w:rPr>
      </w:r>
    </w:p>
    <w:p>
      <w:pPr>
        <w:pStyle w:val="Default"/>
        <w:ind w:right="113" w:hanging="0"/>
        <w:jc w:val="both"/>
        <w:rPr>
          <w:rFonts w:ascii="Avenir" w:hAnsi="Avenir"/>
          <w:color w:val="5A5A5A"/>
          <w:sz w:val="28"/>
          <w:szCs w:val="28"/>
        </w:rPr>
      </w:pPr>
      <w:r>
        <w:rPr>
          <w:rFonts w:ascii="Avenir" w:hAnsi="Avenir"/>
          <w:color w:val="5A5A5A"/>
          <w:sz w:val="28"/>
          <w:szCs w:val="28"/>
        </w:rPr>
        <w:t>KURZFASSUNG</w:t>
      </w:r>
    </w:p>
    <w:p>
      <w:pPr>
        <w:pStyle w:val="Default"/>
        <w:ind w:right="113" w:hanging="0"/>
        <w:jc w:val="both"/>
        <w:rPr>
          <w:rFonts w:ascii="Avenir Heavy" w:hAnsi="Avenir Heavy"/>
          <w:b/>
          <w:b/>
          <w:bCs/>
          <w:color w:val="5A5A5A"/>
          <w:sz w:val="20"/>
          <w:szCs w:val="20"/>
        </w:rPr>
      </w:pPr>
      <w:r>
        <w:rPr>
          <w:rFonts w:ascii="Avenir Heavy" w:hAnsi="Avenir Heavy"/>
          <w:b/>
          <w:bCs/>
          <w:color w:val="5A5A5A"/>
          <w:sz w:val="20"/>
          <w:szCs w:val="20"/>
        </w:rPr>
      </w:r>
    </w:p>
    <w:p>
      <w:pPr>
        <w:pStyle w:val="Default"/>
        <w:pBdr>
          <w:top w:val="single" w:sz="4" w:space="1" w:color="000000"/>
          <w:left w:val="single" w:sz="4" w:space="4" w:color="000000"/>
          <w:bottom w:val="single" w:sz="4" w:space="1" w:color="000000"/>
          <w:right w:val="single" w:sz="4" w:space="4" w:color="000000"/>
        </w:pBdr>
        <w:ind w:right="113" w:hanging="0"/>
        <w:jc w:val="both"/>
        <w:rPr>
          <w:rFonts w:ascii="Avenir Book" w:hAnsi="Avenir Book"/>
          <w:color w:val="5A5A5A"/>
          <w:sz w:val="20"/>
          <w:szCs w:val="20"/>
        </w:rPr>
      </w:pPr>
      <w:r>
        <w:rPr>
          <w:rFonts w:ascii="Avenir Book" w:hAnsi="Avenir Book"/>
          <w:color w:val="5A5A5A"/>
          <w:sz w:val="20"/>
          <w:szCs w:val="20"/>
        </w:rPr>
      </w:r>
    </w:p>
    <w:p>
      <w:pPr>
        <w:pStyle w:val="Default"/>
        <w:pBdr>
          <w:top w:val="single" w:sz="4" w:space="1" w:color="000000"/>
          <w:left w:val="single" w:sz="4" w:space="4" w:color="000000"/>
          <w:bottom w:val="single" w:sz="4" w:space="1" w:color="000000"/>
          <w:right w:val="single" w:sz="4" w:space="4" w:color="000000"/>
        </w:pBdr>
        <w:ind w:right="113" w:hanging="0"/>
        <w:rPr>
          <w:rFonts w:ascii="Avenir Book" w:hAnsi="Avenir Book"/>
          <w:color w:val="5A5A5A"/>
          <w:sz w:val="20"/>
          <w:szCs w:val="20"/>
        </w:rPr>
      </w:pPr>
      <w:r>
        <w:rPr>
          <w:rFonts w:ascii="Avenir Book" w:hAnsi="Avenir Book"/>
          <w:color w:val="5A5A5A"/>
          <w:sz w:val="20"/>
          <w:szCs w:val="20"/>
        </w:rPr>
        <w:t>Unserer Ansicht nach stellt der Vorschlag der EU-Kommission eine Basis für die Weiterentwicklung der gültigen NFRD zur CSRD dar, sollte aber vom Europäischen Parlament und Rat maßgeblich verbessert werden, um einen signifikanten Beitrag zu einer wirksamen Nachhaltigkeitsberichterstattung sowie zum Green Deal, den SDGs und der Einhaltung der „ökologischen planetaren Grenzen“ leisten zu können:</w:t>
      </w:r>
    </w:p>
    <w:p>
      <w:pPr>
        <w:pStyle w:val="Default"/>
        <w:pBdr>
          <w:top w:val="single" w:sz="4" w:space="1" w:color="000000"/>
          <w:left w:val="single" w:sz="4" w:space="4" w:color="000000"/>
          <w:bottom w:val="single" w:sz="4" w:space="1" w:color="000000"/>
          <w:right w:val="single" w:sz="4" w:space="4" w:color="000000"/>
        </w:pBdr>
        <w:ind w:right="113" w:hanging="0"/>
        <w:rPr>
          <w:rFonts w:ascii="Avenir Book" w:hAnsi="Avenir Book"/>
          <w:color w:val="5A5A5A"/>
          <w:sz w:val="20"/>
          <w:szCs w:val="20"/>
        </w:rPr>
      </w:pPr>
      <w:r>
        <w:rPr>
          <w:rFonts w:ascii="Avenir Book" w:hAnsi="Avenir Book"/>
          <w:color w:val="5A5A5A"/>
          <w:sz w:val="20"/>
          <w:szCs w:val="20"/>
        </w:rPr>
      </w:r>
    </w:p>
    <w:p>
      <w:pPr>
        <w:pStyle w:val="ListParagraph"/>
        <w:numPr>
          <w:ilvl w:val="0"/>
          <w:numId w:val="1"/>
        </w:numPr>
        <w:pBdr>
          <w:top w:val="single" w:sz="4" w:space="1" w:color="000000"/>
          <w:left w:val="single" w:sz="4" w:space="4" w:color="000000"/>
          <w:bottom w:val="single" w:sz="4" w:space="1" w:color="000000"/>
          <w:right w:val="single" w:sz="4" w:space="4" w:color="000000"/>
        </w:pBdr>
        <w:ind w:left="360" w:right="113" w:hanging="360"/>
        <w:rPr>
          <w:rFonts w:ascii="Avenir Book" w:hAnsi="Avenir Book"/>
          <w:color w:val="5A5A5A"/>
          <w:sz w:val="20"/>
          <w:szCs w:val="20"/>
        </w:rPr>
      </w:pPr>
      <w:r>
        <w:rPr>
          <w:rFonts w:ascii="Avenir Book" w:hAnsi="Avenir Book"/>
          <w:color w:val="5A5A5A"/>
          <w:sz w:val="20"/>
          <w:szCs w:val="20"/>
        </w:rPr>
        <w:t xml:space="preserve">Die Pflicht zur Nachhaltigkeitsberichterstattung sollte auf </w:t>
      </w:r>
      <w:r>
        <w:rPr>
          <w:rFonts w:ascii="Avenir Heavy" w:hAnsi="Avenir Heavy"/>
          <w:b/>
          <w:bCs/>
          <w:color w:val="5A5A5A"/>
          <w:sz w:val="20"/>
          <w:szCs w:val="20"/>
        </w:rPr>
        <w:t>alle Unternehmen</w:t>
      </w:r>
      <w:r>
        <w:rPr>
          <w:rFonts w:ascii="Avenir Book" w:hAnsi="Avenir Book"/>
          <w:color w:val="5A5A5A"/>
          <w:sz w:val="20"/>
          <w:szCs w:val="20"/>
        </w:rPr>
        <w:t xml:space="preserve">, die auch der </w:t>
      </w:r>
      <w:r>
        <w:rPr>
          <w:rFonts w:ascii="Avenir Heavy" w:hAnsi="Avenir Heavy"/>
          <w:b/>
          <w:bCs/>
          <w:color w:val="5A5A5A"/>
          <w:sz w:val="20"/>
          <w:szCs w:val="20"/>
        </w:rPr>
        <w:t xml:space="preserve">finanziellen Berichtspflicht </w:t>
      </w:r>
      <w:r>
        <w:rPr>
          <w:rFonts w:ascii="Avenir Book" w:hAnsi="Avenir Book"/>
          <w:color w:val="5A5A5A"/>
          <w:sz w:val="20"/>
          <w:szCs w:val="20"/>
        </w:rPr>
        <w:t>unterliegen, ausgeweitet werden.</w:t>
      </w:r>
    </w:p>
    <w:p>
      <w:pPr>
        <w:pStyle w:val="ListParagraph"/>
        <w:numPr>
          <w:ilvl w:val="0"/>
          <w:numId w:val="1"/>
        </w:numPr>
        <w:pBdr>
          <w:top w:val="single" w:sz="4" w:space="1" w:color="000000"/>
          <w:left w:val="single" w:sz="4" w:space="4" w:color="000000"/>
          <w:bottom w:val="single" w:sz="4" w:space="1" w:color="000000"/>
          <w:right w:val="single" w:sz="4" w:space="4" w:color="000000"/>
        </w:pBdr>
        <w:ind w:left="360" w:right="113" w:hanging="360"/>
        <w:rPr>
          <w:rFonts w:ascii="Avenir Book" w:hAnsi="Avenir Book"/>
          <w:color w:val="5A5A5A"/>
          <w:sz w:val="20"/>
          <w:szCs w:val="20"/>
        </w:rPr>
      </w:pPr>
      <w:r>
        <w:rPr>
          <w:rFonts w:ascii="Avenir Heavy" w:hAnsi="Avenir Heavy"/>
          <w:b/>
          <w:bCs/>
          <w:color w:val="5A5A5A"/>
          <w:sz w:val="20"/>
          <w:szCs w:val="20"/>
        </w:rPr>
        <w:t>Soziale und ökologische Standards</w:t>
      </w:r>
      <w:r>
        <w:rPr>
          <w:rFonts w:ascii="Avenir Book" w:hAnsi="Avenir Book"/>
          <w:color w:val="5A5A5A"/>
          <w:sz w:val="20"/>
          <w:szCs w:val="20"/>
        </w:rPr>
        <w:t xml:space="preserve"> sollten direkt </w:t>
      </w:r>
      <w:r>
        <w:rPr>
          <w:rFonts w:ascii="Avenir Heavy" w:hAnsi="Avenir Heavy"/>
          <w:b/>
          <w:bCs/>
          <w:color w:val="5A5A5A"/>
          <w:sz w:val="20"/>
          <w:szCs w:val="20"/>
        </w:rPr>
        <w:t>von den Gesetzgebern</w:t>
      </w:r>
      <w:r>
        <w:rPr>
          <w:rFonts w:ascii="Avenir Book" w:hAnsi="Avenir Book"/>
          <w:b/>
          <w:bCs/>
          <w:color w:val="5A5A5A"/>
          <w:sz w:val="20"/>
          <w:szCs w:val="20"/>
        </w:rPr>
        <w:t xml:space="preserve"> </w:t>
      </w:r>
      <w:r>
        <w:rPr>
          <w:rFonts w:ascii="Avenir Book" w:hAnsi="Avenir Book"/>
          <w:color w:val="5A5A5A"/>
          <w:sz w:val="20"/>
          <w:szCs w:val="20"/>
        </w:rPr>
        <w:t xml:space="preserve">definiert und festgelegt werden, unter Heranziehung der ambitioniertesten Nachhaltigkeits-Berichtsrahmenwerke. </w:t>
      </w:r>
    </w:p>
    <w:p>
      <w:pPr>
        <w:pStyle w:val="ListParagraph"/>
        <w:numPr>
          <w:ilvl w:val="0"/>
          <w:numId w:val="1"/>
        </w:numPr>
        <w:pBdr>
          <w:top w:val="single" w:sz="4" w:space="1" w:color="000000"/>
          <w:left w:val="single" w:sz="4" w:space="4" w:color="000000"/>
          <w:bottom w:val="single" w:sz="4" w:space="1" w:color="000000"/>
          <w:right w:val="single" w:sz="4" w:space="4" w:color="000000"/>
        </w:pBdr>
        <w:ind w:left="360" w:right="113" w:hanging="360"/>
        <w:rPr/>
      </w:pPr>
      <w:r>
        <w:rPr>
          <w:rFonts w:ascii="Avenir Heavy" w:hAnsi="Avenir Heavy"/>
          <w:b/>
          <w:bCs/>
          <w:color w:val="5A5A5A"/>
          <w:sz w:val="20"/>
          <w:szCs w:val="20"/>
        </w:rPr>
        <w:t xml:space="preserve">Vorbildliche </w:t>
      </w:r>
      <w:r>
        <w:rPr>
          <w:rFonts w:ascii="Avenir Heavy" w:hAnsi="Avenir Heavy"/>
          <w:b/>
          <w:bCs/>
          <w:color w:val="5A5A5A"/>
          <w:sz w:val="20"/>
          <w:szCs w:val="20"/>
        </w:rPr>
        <w:t>Be</w:t>
      </w:r>
      <w:r>
        <w:rPr>
          <w:rFonts w:ascii="Avenir Heavy" w:hAnsi="Avenir Heavy"/>
          <w:b/>
          <w:bCs/>
          <w:color w:val="5A5A5A"/>
          <w:sz w:val="20"/>
          <w:szCs w:val="20"/>
        </w:rPr>
        <w:t>richtsstandards</w:t>
      </w:r>
      <w:r>
        <w:rPr>
          <w:rFonts w:ascii="Avenir Book" w:hAnsi="Avenir Book"/>
          <w:color w:val="5A5A5A"/>
          <w:sz w:val="20"/>
          <w:szCs w:val="20"/>
        </w:rPr>
        <w:t xml:space="preserve">, </w:t>
      </w:r>
      <w:r>
        <w:rPr>
          <w:rFonts w:ascii="Avenir Book" w:hAnsi="Avenir Book"/>
          <w:color w:val="5A5A5A"/>
          <w:sz w:val="20"/>
          <w:szCs w:val="20"/>
        </w:rPr>
        <w:t xml:space="preserve">gemessen an </w:t>
      </w:r>
      <w:r>
        <w:rPr>
          <w:rFonts w:ascii="Avenir Book" w:hAnsi="Avenir Book"/>
          <w:b/>
          <w:bCs/>
          <w:color w:val="5A5A5A"/>
          <w:sz w:val="20"/>
          <w:szCs w:val="20"/>
        </w:rPr>
        <w:t>wissenschaftlichen Anforderungskriterien</w:t>
      </w:r>
      <w:r>
        <w:rPr>
          <w:rFonts w:ascii="Avenir Book" w:hAnsi="Avenir Book"/>
          <w:color w:val="5A5A5A"/>
          <w:sz w:val="20"/>
          <w:szCs w:val="20"/>
        </w:rPr>
        <w:t xml:space="preserve">, </w:t>
      </w:r>
      <w:r>
        <w:rPr>
          <w:rFonts w:ascii="Avenir Book" w:hAnsi="Avenir Book"/>
          <w:color w:val="5A5A5A"/>
          <w:sz w:val="20"/>
          <w:szCs w:val="20"/>
        </w:rPr>
        <w:t>sollten für die weitere Entwicklung der Gesetzgebung herangezogen werden.</w:t>
      </w:r>
    </w:p>
    <w:p>
      <w:pPr>
        <w:pStyle w:val="ListParagraph"/>
        <w:numPr>
          <w:ilvl w:val="0"/>
          <w:numId w:val="1"/>
        </w:numPr>
        <w:pBdr>
          <w:top w:val="single" w:sz="4" w:space="1" w:color="000000"/>
          <w:left w:val="single" w:sz="4" w:space="4" w:color="000000"/>
          <w:bottom w:val="single" w:sz="4" w:space="1" w:color="000000"/>
          <w:right w:val="single" w:sz="4" w:space="4" w:color="000000"/>
        </w:pBdr>
        <w:ind w:left="360" w:right="113" w:hanging="360"/>
        <w:rPr>
          <w:rFonts w:ascii="Avenir Book" w:hAnsi="Avenir Book"/>
          <w:color w:val="5A5A5A"/>
          <w:sz w:val="20"/>
          <w:szCs w:val="20"/>
        </w:rPr>
      </w:pPr>
      <w:r>
        <w:rPr>
          <w:rFonts w:ascii="Avenir Book" w:hAnsi="Avenir Book"/>
          <w:color w:val="5A5A5A"/>
          <w:sz w:val="20"/>
          <w:szCs w:val="20"/>
        </w:rPr>
        <w:t xml:space="preserve">Nachhaltigkeitsberichterstattung soll zu </w:t>
      </w:r>
      <w:r>
        <w:rPr>
          <w:rFonts w:ascii="Avenir Heavy" w:hAnsi="Avenir Heavy"/>
          <w:b/>
          <w:bCs/>
          <w:color w:val="5A5A5A"/>
          <w:sz w:val="20"/>
          <w:szCs w:val="20"/>
        </w:rPr>
        <w:t xml:space="preserve">quantifizierten und vergleichbaren </w:t>
      </w:r>
      <w:bookmarkStart w:id="0" w:name="__DdeLink__19423_1973171683"/>
      <w:r>
        <w:rPr>
          <w:rFonts w:ascii="Avenir Heavy" w:hAnsi="Avenir Heavy"/>
          <w:b/>
          <w:bCs/>
          <w:color w:val="5A5A5A"/>
          <w:sz w:val="20"/>
          <w:szCs w:val="20"/>
        </w:rPr>
        <w:t>Ergebnissen</w:t>
      </w:r>
      <w:r>
        <w:rPr>
          <w:rFonts w:ascii="Avenir Book" w:hAnsi="Avenir Book"/>
          <w:b/>
          <w:bCs/>
          <w:color w:val="5A5A5A"/>
          <w:sz w:val="20"/>
          <w:szCs w:val="20"/>
        </w:rPr>
        <w:t xml:space="preserve"> </w:t>
      </w:r>
      <w:r>
        <w:rPr>
          <w:rFonts w:ascii="Avenir Book" w:hAnsi="Avenir Book"/>
          <w:color w:val="5A5A5A"/>
          <w:sz w:val="20"/>
          <w:szCs w:val="20"/>
        </w:rPr>
        <w:t xml:space="preserve">führen, </w:t>
      </w:r>
      <w:r>
        <w:rPr>
          <w:rFonts w:ascii="Avenir Heavy" w:hAnsi="Avenir Heavy"/>
          <w:b/>
          <w:bCs/>
          <w:color w:val="5A5A5A"/>
          <w:sz w:val="20"/>
          <w:szCs w:val="20"/>
        </w:rPr>
        <w:t>die sichtbar</w:t>
      </w:r>
      <w:r>
        <w:rPr>
          <w:rFonts w:ascii="Avenir Book" w:hAnsi="Avenir Book"/>
          <w:b/>
          <w:bCs/>
          <w:color w:val="5A5A5A"/>
          <w:sz w:val="20"/>
          <w:szCs w:val="20"/>
        </w:rPr>
        <w:t xml:space="preserve"> </w:t>
      </w:r>
      <w:r>
        <w:rPr>
          <w:rFonts w:ascii="Avenir Book" w:hAnsi="Avenir Book"/>
          <w:color w:val="5A5A5A"/>
          <w:sz w:val="20"/>
          <w:szCs w:val="20"/>
        </w:rPr>
        <w:t>auf Produkten, Web-Seiten und im Firmenregister aufscheinen, damit Konsument*innen, Investor*innen sich ein ganzheitliches Bild von Unternehmen machen und besser informiert Entscheidungen treffen können.</w:t>
      </w:r>
      <w:r>
        <w:rPr>
          <w:rFonts w:ascii="Avenir Book" w:hAnsi="Avenir Book"/>
          <w:b/>
          <w:bCs/>
          <w:color w:val="5A5A5A"/>
          <w:sz w:val="20"/>
          <w:szCs w:val="20"/>
        </w:rPr>
        <w:t xml:space="preserve"> </w:t>
      </w:r>
      <w:bookmarkEnd w:id="0"/>
    </w:p>
    <w:p>
      <w:pPr>
        <w:pStyle w:val="ListParagraph"/>
        <w:numPr>
          <w:ilvl w:val="0"/>
          <w:numId w:val="1"/>
        </w:numPr>
        <w:pBdr>
          <w:top w:val="single" w:sz="4" w:space="1" w:color="000000"/>
          <w:left w:val="single" w:sz="4" w:space="4" w:color="000000"/>
          <w:bottom w:val="single" w:sz="4" w:space="1" w:color="000000"/>
          <w:right w:val="single" w:sz="4" w:space="4" w:color="000000"/>
        </w:pBdr>
        <w:ind w:left="360" w:right="113" w:hanging="360"/>
        <w:rPr>
          <w:rFonts w:ascii="Avenir Book" w:hAnsi="Avenir Book"/>
          <w:color w:val="5A5A5A"/>
          <w:sz w:val="20"/>
          <w:szCs w:val="20"/>
        </w:rPr>
      </w:pPr>
      <w:r>
        <w:rPr>
          <w:rFonts w:ascii="Avenir Book" w:hAnsi="Avenir Book"/>
          <w:color w:val="5A5A5A"/>
          <w:sz w:val="20"/>
          <w:szCs w:val="20"/>
        </w:rPr>
        <w:t xml:space="preserve">Die Inhalte von Nachhaltigkeitsberichten sollen – gleich wie die Finanzberichte – </w:t>
      </w:r>
      <w:r>
        <w:rPr>
          <w:rFonts w:ascii="Avenir Heavy" w:hAnsi="Avenir Heavy"/>
          <w:color w:val="5A5A5A"/>
          <w:sz w:val="20"/>
          <w:szCs w:val="20"/>
        </w:rPr>
        <w:t>extern auditiert</w:t>
      </w:r>
      <w:r>
        <w:rPr>
          <w:rFonts w:ascii="Avenir Book" w:hAnsi="Avenir Book"/>
          <w:b/>
          <w:bCs/>
          <w:color w:val="5A5A5A"/>
          <w:sz w:val="20"/>
          <w:szCs w:val="20"/>
        </w:rPr>
        <w:t xml:space="preserve"> </w:t>
      </w:r>
      <w:r>
        <w:rPr>
          <w:rFonts w:ascii="Avenir Book" w:hAnsi="Avenir Book"/>
          <w:color w:val="5A5A5A"/>
          <w:sz w:val="20"/>
          <w:szCs w:val="20"/>
        </w:rPr>
        <w:t xml:space="preserve">und dem Prüfvermerk </w:t>
      </w:r>
      <w:r>
        <w:rPr>
          <w:rFonts w:ascii="Avenir Heavy" w:hAnsi="Avenir Heavy"/>
          <w:b/>
          <w:bCs/>
          <w:color w:val="5A5A5A"/>
          <w:sz w:val="20"/>
          <w:szCs w:val="20"/>
        </w:rPr>
        <w:t>„hinreichende Sicherheit“</w:t>
      </w:r>
      <w:r>
        <w:rPr>
          <w:rFonts w:ascii="Avenir Book" w:hAnsi="Avenir Book"/>
          <w:b/>
          <w:bCs/>
          <w:color w:val="5A5A5A"/>
          <w:sz w:val="20"/>
          <w:szCs w:val="20"/>
        </w:rPr>
        <w:t xml:space="preserve"> </w:t>
      </w:r>
      <w:r>
        <w:rPr>
          <w:rFonts w:ascii="Avenir Book" w:hAnsi="Avenir Book"/>
          <w:color w:val="5A5A5A"/>
          <w:sz w:val="20"/>
          <w:szCs w:val="20"/>
        </w:rPr>
        <w:t xml:space="preserve">(reasonable assurance) versehen werden müssen, zumindest bei größeren Unternehmen. </w:t>
      </w:r>
    </w:p>
    <w:p>
      <w:pPr>
        <w:pStyle w:val="ListParagraph"/>
        <w:numPr>
          <w:ilvl w:val="0"/>
          <w:numId w:val="1"/>
        </w:numPr>
        <w:pBdr>
          <w:top w:val="single" w:sz="4" w:space="1" w:color="000000"/>
          <w:left w:val="single" w:sz="4" w:space="4" w:color="000000"/>
          <w:bottom w:val="single" w:sz="4" w:space="1" w:color="000000"/>
          <w:right w:val="single" w:sz="4" w:space="4" w:color="000000"/>
        </w:pBdr>
        <w:ind w:left="360" w:right="113" w:hanging="360"/>
        <w:rPr>
          <w:rFonts w:ascii="Avenir Book" w:hAnsi="Avenir Book"/>
          <w:color w:val="5A5A5A"/>
          <w:sz w:val="20"/>
          <w:szCs w:val="20"/>
        </w:rPr>
      </w:pPr>
      <w:r>
        <w:rPr>
          <w:rFonts w:eastAsia="Avenir Next LT Pro" w:cs="Avenir Next LT Pro" w:ascii="Avenir Book" w:hAnsi="Avenir Book"/>
          <w:color w:val="5A5A5A"/>
          <w:sz w:val="20"/>
          <w:szCs w:val="20"/>
          <w:u w:val="none" w:color="5A5A5A"/>
        </w:rPr>
        <w:t xml:space="preserve">Die Nachhaltigkeitsperformance von Unternehmen sind gesetzlich an </w:t>
      </w:r>
      <w:r>
        <w:rPr>
          <w:rFonts w:ascii="Avenir Heavy" w:hAnsi="Avenir Heavy"/>
          <w:b/>
          <w:bCs/>
          <w:color w:val="5A5A5A"/>
          <w:sz w:val="20"/>
          <w:szCs w:val="20"/>
        </w:rPr>
        <w:t>rechtliche Anreize</w:t>
      </w:r>
      <w:r>
        <w:rPr>
          <w:rFonts w:eastAsia="Avenir Next LT Pro" w:cs="Avenir Next LT Pro" w:ascii="Avenir Book" w:hAnsi="Avenir Book"/>
          <w:b/>
          <w:bCs/>
          <w:color w:val="5A5A5A"/>
          <w:sz w:val="20"/>
          <w:szCs w:val="20"/>
          <w:u w:val="none" w:color="5A5A5A"/>
        </w:rPr>
        <w:t xml:space="preserve"> </w:t>
      </w:r>
      <w:r>
        <w:rPr>
          <w:rFonts w:eastAsia="Avenir Next LT Pro" w:cs="Avenir Next LT Pro" w:ascii="Avenir Book" w:hAnsi="Avenir Book"/>
          <w:color w:val="5A5A5A"/>
          <w:sz w:val="20"/>
          <w:szCs w:val="20"/>
          <w:u w:val="none" w:color="5A5A5A"/>
        </w:rPr>
        <w:t>knüpfen, um die Marktkräfte zur Förderung gesellschaftlicher Werte zu nützen und verantwortlichen Unternehmen einen Wettbewerbsvorteil zu verschaffen, z. B. über öffentliche Beschaffung, Wirtschaftsförderung oder Steuern.</w:t>
      </w:r>
    </w:p>
    <w:p>
      <w:pPr>
        <w:pStyle w:val="Normal"/>
        <w:pBdr>
          <w:top w:val="single" w:sz="4" w:space="1" w:color="000000"/>
          <w:left w:val="single" w:sz="4" w:space="4" w:color="000000"/>
          <w:bottom w:val="single" w:sz="4" w:space="1" w:color="000000"/>
          <w:right w:val="single" w:sz="4" w:space="4" w:color="000000"/>
        </w:pBdr>
        <w:ind w:right="113" w:hanging="0"/>
        <w:jc w:val="both"/>
        <w:rPr>
          <w:rFonts w:ascii="Avenir Book" w:hAnsi="Avenir Book"/>
          <w:color w:val="5A5A5A"/>
          <w:sz w:val="20"/>
          <w:szCs w:val="20"/>
        </w:rPr>
      </w:pPr>
      <w:r>
        <w:rPr>
          <w:rFonts w:ascii="Avenir Book" w:hAnsi="Avenir Book"/>
          <w:color w:val="5A5A5A"/>
          <w:sz w:val="20"/>
          <w:szCs w:val="20"/>
        </w:rPr>
      </w:r>
      <w:r>
        <w:br w:type="page"/>
      </w:r>
    </w:p>
    <w:p>
      <w:pPr>
        <w:pStyle w:val="Normal"/>
        <w:rPr/>
      </w:pPr>
      <w:r>
        <w:rPr>
          <w:rFonts w:eastAsia="Avenir Next LT Pro" w:cs="Avenir Next LT Pro" w:ascii="Avenir Black" w:hAnsi="Avenir Black"/>
          <w:b/>
          <w:color w:val="4472C4" w:themeColor="accent1"/>
          <w:sz w:val="22"/>
          <w:szCs w:val="22"/>
        </w:rPr>
        <w:t>Aktuelle Situation</w:t>
      </w:r>
    </w:p>
    <w:p>
      <w:pPr>
        <w:pStyle w:val="Normal"/>
        <w:rPr>
          <w:rFonts w:ascii="Avenir Book" w:hAnsi="Avenir Book" w:eastAsia="Avenir Next LT Pro" w:cs="Avenir Next LT Pro"/>
          <w:color w:val="5A5A5A"/>
          <w:sz w:val="20"/>
          <w:szCs w:val="20"/>
          <w:u w:val="none" w:color="889E33"/>
        </w:rPr>
      </w:pPr>
      <w:r>
        <w:rPr>
          <w:rFonts w:eastAsia="Avenir Next LT Pro" w:cs="Avenir Next LT Pro" w:ascii="Avenir Book" w:hAnsi="Avenir Book"/>
          <w:color w:val="5A5A5A"/>
          <w:sz w:val="20"/>
          <w:szCs w:val="20"/>
          <w:u w:val="none" w:color="5A5A5A"/>
        </w:rPr>
        <w:t>Die meisten Unternehmen in der EU und weltweit legen bisher keine relevanten Informationen zu Nachhaltigkeit, Menschenrechten, Steuergerechtigkeit und anderen ethischen Themen offen.</w:t>
      </w:r>
      <w:r>
        <w:rPr>
          <w:rStyle w:val="Funotenanker"/>
          <w:rStyle w:val="Funotenanker"/>
          <w:rFonts w:eastAsia="Avenir Next LT Pro" w:cs="Avenir Next LT Pro" w:ascii="Avenir Book" w:hAnsi="Avenir Book"/>
          <w:color w:val="5A5A5A"/>
          <w:sz w:val="20"/>
          <w:szCs w:val="20"/>
          <w:u w:val="none" w:color="5A5A5A"/>
          <w:lang w:val="en-US"/>
        </w:rPr>
        <w:footnoteReference w:id="2"/>
      </w:r>
      <w:r>
        <w:rPr>
          <w:rFonts w:eastAsia="Avenir Next LT Pro" w:cs="Avenir Next LT Pro" w:ascii="Avenir Book" w:hAnsi="Avenir Book"/>
          <w:color w:val="5A5A5A"/>
          <w:sz w:val="20"/>
          <w:szCs w:val="20"/>
          <w:u w:val="none" w:color="5A5A5A"/>
        </w:rPr>
        <w:t xml:space="preserve"> Eine Verschärfung der Berichtspflichten ist dringend erforderlich, um globalen Herausforderungen wie der Klimakrise, der Verletzung von Menschenrechten oder der sozialen Ungleichheit effektiv entgegenzuwirken. Zudem steigt das Interesse an der Nachhaltigkeitsperformance von Unternehmen seitens Kund*innen, Investor*innen und zukünftiger Generationen kontinuierlich an. Die gegenständliche Initiative der EU-Kommission zur Reform der seit dem Jahr 2017 angewandten NFRD wird ausdrücklich begrüßt.</w:t>
        <w:br/>
        <w:t xml:space="preserve">Dennoch </w:t>
      </w:r>
      <w:r>
        <w:rPr>
          <w:rFonts w:eastAsia="Avenir Next LT Pro" w:cs="Avenir Next LT Pro" w:ascii="Avenir Book" w:hAnsi="Avenir Book"/>
          <w:color w:val="5A5A5A"/>
          <w:sz w:val="20"/>
          <w:szCs w:val="20"/>
          <w:u w:val="none" w:color="889E33"/>
        </w:rPr>
        <w:t>hat der Vorschlag entscheidende Schwachstellen:</w:t>
      </w:r>
    </w:p>
    <w:p>
      <w:pPr>
        <w:pStyle w:val="ListParagraph"/>
        <w:numPr>
          <w:ilvl w:val="0"/>
          <w:numId w:val="2"/>
        </w:numPr>
        <w:rPr>
          <w:rFonts w:ascii="Avenir Book" w:hAnsi="Avenir Book" w:eastAsia="Avenir Next LT Pro" w:cs="Avenir Next LT Pro"/>
          <w:color w:val="5A5A5A"/>
          <w:sz w:val="20"/>
          <w:szCs w:val="20"/>
          <w:u w:val="none" w:color="889E33"/>
        </w:rPr>
      </w:pPr>
      <w:r>
        <w:rPr>
          <w:rFonts w:eastAsia="Avenir Next LT Pro" w:cs="Avenir Next LT Pro" w:ascii="Avenir Book" w:hAnsi="Avenir Book"/>
          <w:color w:val="5A5A5A"/>
          <w:sz w:val="20"/>
          <w:szCs w:val="20"/>
          <w:u w:val="none" w:color="889E33"/>
        </w:rPr>
        <w:t xml:space="preserve">Gemäß dem jetzigen Vorschlag wären nur etwa 49.000 </w:t>
      </w:r>
      <w:r>
        <w:rPr>
          <w:rFonts w:eastAsia="Avenir Next LT Pro" w:cs="Avenir Next LT Pro" w:ascii="Avenir Book" w:hAnsi="Avenir Book"/>
          <w:iCs/>
          <w:color w:val="5A5A5A"/>
          <w:sz w:val="20"/>
          <w:szCs w:val="20"/>
          <w:u w:val="none" w:color="5A5A5A"/>
        </w:rPr>
        <w:t>von den 22,2 Millionen (</w:t>
      </w:r>
      <w:r>
        <w:rPr>
          <w:rFonts w:eastAsia="Avenir Next LT Pro" w:cs="Avenir Next LT Pro" w:ascii="Avenir Book" w:hAnsi="Avenir Book"/>
          <w:color w:val="5A5A5A"/>
          <w:sz w:val="20"/>
          <w:szCs w:val="20"/>
          <w:u w:val="none" w:color="889E33"/>
        </w:rPr>
        <w:t>oder 0,2 %) EU-ansässigen Unternehmen betroffen.</w:t>
      </w:r>
      <w:r>
        <w:rPr>
          <w:rStyle w:val="Funotenanker"/>
          <w:rStyle w:val="Funotenanker"/>
          <w:rFonts w:eastAsia="Avenir Next LT Pro" w:cs="Avenir Next LT Pro" w:ascii="Avenir Book" w:hAnsi="Avenir Book"/>
          <w:color w:val="5A5A5A"/>
          <w:sz w:val="20"/>
          <w:szCs w:val="20"/>
          <w:u w:val="none" w:color="889E33"/>
        </w:rPr>
        <w:footnoteReference w:id="3"/>
      </w:r>
    </w:p>
    <w:p>
      <w:pPr>
        <w:pStyle w:val="ListParagraph"/>
        <w:numPr>
          <w:ilvl w:val="0"/>
          <w:numId w:val="2"/>
        </w:numPr>
        <w:rPr/>
      </w:pPr>
      <w:r>
        <w:rPr>
          <w:rFonts w:eastAsia="Avenir Next LT Pro" w:cs="Avenir Next LT Pro" w:ascii="Avenir Book" w:hAnsi="Avenir Book"/>
          <w:color w:val="5A5A5A"/>
          <w:sz w:val="20"/>
          <w:szCs w:val="20"/>
          <w:u w:val="none" w:color="889E33"/>
        </w:rPr>
        <w:t>Die NFI-Berichte müssen weder vergleichbar sein noch sind an das Ergebnis geknüpfte rechtliche Anreize vorgesehen.</w:t>
      </w:r>
    </w:p>
    <w:p>
      <w:pPr>
        <w:pStyle w:val="ListParagraph"/>
        <w:numPr>
          <w:ilvl w:val="0"/>
          <w:numId w:val="2"/>
        </w:numPr>
        <w:rPr/>
      </w:pPr>
      <w:r>
        <w:rPr>
          <w:rFonts w:eastAsia="Avenir Next LT Pro" w:cs="Avenir Next LT Pro" w:ascii="Avenir Book" w:hAnsi="Avenir Book"/>
          <w:color w:val="5A5A5A"/>
          <w:sz w:val="20"/>
          <w:szCs w:val="20"/>
          <w:u w:val="none" w:color="889E33"/>
        </w:rPr>
        <w:t>Zudem wird die Festlegung konkreter Standards an private Akteure delegiert.</w:t>
      </w:r>
    </w:p>
    <w:p>
      <w:pPr>
        <w:pStyle w:val="ListParagraph"/>
        <w:numPr>
          <w:ilvl w:val="0"/>
          <w:numId w:val="2"/>
        </w:numPr>
        <w:rPr/>
      </w:pPr>
      <w:r>
        <w:rPr>
          <w:rFonts w:eastAsia="Avenir Next LT Pro" w:cs="Avenir Next LT Pro" w:ascii="Avenir Book" w:hAnsi="Avenir Book"/>
          <w:color w:val="5A5A5A"/>
          <w:sz w:val="20"/>
          <w:szCs w:val="20"/>
          <w:u w:val="none" w:color="889E33"/>
        </w:rPr>
        <w:t>Ob die Berichte extern geprüft werden müssen, ist noch offen.</w:t>
      </w:r>
    </w:p>
    <w:p>
      <w:pPr>
        <w:pStyle w:val="Normal"/>
        <w:rPr>
          <w:rFonts w:ascii="Avenir Book" w:hAnsi="Avenir Book" w:eastAsia="Avenir Next LT Pro" w:cs="Avenir Next LT Pro"/>
          <w:color w:val="5A5A5A"/>
          <w:sz w:val="20"/>
          <w:szCs w:val="20"/>
          <w:u w:val="none" w:color="5A5A5A"/>
        </w:rPr>
      </w:pPr>
      <w:r>
        <w:rPr>
          <w:rFonts w:eastAsia="Avenir Next LT Pro" w:cs="Avenir Next LT Pro" w:ascii="Avenir Book" w:hAnsi="Avenir Book"/>
          <w:color w:val="5A5A5A"/>
          <w:sz w:val="20"/>
          <w:szCs w:val="20"/>
          <w:u w:val="none" w:color="5A5A5A"/>
        </w:rPr>
        <w:t>Um die Wirksamkeit der Richtlinie zu verbessern und ihren sozialen und ökologischen Nutzen zu erhöhen, sollten das Europäische Parlament und die Mitgliedstaaten den Entwurf der Kommission deutlich verbessern.</w:t>
      </w:r>
    </w:p>
    <w:p>
      <w:pPr>
        <w:pStyle w:val="Normal"/>
        <w:rPr>
          <w:rFonts w:ascii="Avenir Book" w:hAnsi="Avenir Book" w:eastAsia="Avenir Next LT Pro" w:cs="Avenir Next LT Pro"/>
          <w:color w:val="5A5A5A"/>
          <w:sz w:val="20"/>
          <w:szCs w:val="20"/>
          <w:u w:val="none" w:color="5A5A5A"/>
        </w:rPr>
      </w:pPr>
      <w:r>
        <w:rPr>
          <w:rFonts w:eastAsia="Avenir Next LT Pro" w:cs="Avenir Next LT Pro" w:ascii="Avenir Book" w:hAnsi="Avenir Book"/>
          <w:color w:val="5A5A5A"/>
          <w:sz w:val="20"/>
          <w:szCs w:val="20"/>
          <w:u w:val="none" w:color="5A5A5A"/>
        </w:rPr>
      </w:r>
    </w:p>
    <w:p>
      <w:pPr>
        <w:pStyle w:val="Normal"/>
        <w:rPr>
          <w:rFonts w:ascii="Avenir Book" w:hAnsi="Avenir Book" w:eastAsia="Avenir Next LT Pro" w:cs="Avenir Next LT Pro"/>
          <w:color w:val="5A5A5A"/>
          <w:sz w:val="20"/>
          <w:szCs w:val="20"/>
          <w:u w:val="none" w:color="5A5A5A"/>
        </w:rPr>
      </w:pPr>
      <w:r>
        <w:rPr>
          <w:rFonts w:eastAsia="Avenir Next LT Pro" w:cs="Avenir Next LT Pro" w:ascii="Avenir Book" w:hAnsi="Avenir Book"/>
          <w:color w:val="5A5A5A"/>
          <w:sz w:val="20"/>
          <w:szCs w:val="20"/>
          <w:u w:val="none" w:color="5A5A5A"/>
        </w:rPr>
      </w:r>
    </w:p>
    <w:p>
      <w:pPr>
        <w:pStyle w:val="Normal"/>
        <w:rPr>
          <w:b/>
          <w:b/>
          <w:color w:val="4472C4" w:themeColor="accent1"/>
          <w:sz w:val="22"/>
          <w:szCs w:val="22"/>
        </w:rPr>
      </w:pPr>
      <w:r>
        <w:rPr>
          <w:rFonts w:eastAsia="Avenir Next LT Pro" w:cs="Avenir Next LT Pro" w:ascii="Avenir Book" w:hAnsi="Avenir Book"/>
          <w:b/>
          <w:color w:val="4472C4" w:themeColor="accent1"/>
          <w:sz w:val="22"/>
          <w:szCs w:val="22"/>
          <w:u w:val="single" w:color="5A5A5A"/>
        </w:rPr>
        <w:t>Daher werden hier insbesondere sechs Verbesserungen vorgeschlagen</w:t>
      </w:r>
      <w:r>
        <w:rPr>
          <w:rFonts w:eastAsia="Avenir Next LT Pro" w:cs="Avenir Next LT Pro" w:ascii="Avenir Book" w:hAnsi="Avenir Book"/>
          <w:b/>
          <w:color w:val="4472C4" w:themeColor="accent1"/>
          <w:sz w:val="22"/>
          <w:szCs w:val="22"/>
          <w:u w:val="none" w:color="5A5A5A"/>
        </w:rPr>
        <w:t>:</w:t>
      </w:r>
    </w:p>
    <w:p>
      <w:pPr>
        <w:pStyle w:val="Normal"/>
        <w:spacing w:lineRule="auto" w:line="276"/>
        <w:rPr>
          <w:rFonts w:ascii="Avenir Book" w:hAnsi="Avenir Book"/>
          <w:color w:val="5A5A5A"/>
          <w:sz w:val="20"/>
          <w:szCs w:val="20"/>
        </w:rPr>
      </w:pPr>
      <w:r>
        <w:rPr>
          <w:rFonts w:ascii="Avenir Book" w:hAnsi="Avenir Book"/>
          <w:color w:val="5A5A5A"/>
          <w:sz w:val="20"/>
          <w:szCs w:val="20"/>
        </w:rPr>
      </w:r>
    </w:p>
    <w:p>
      <w:pPr>
        <w:pStyle w:val="Normal"/>
        <w:spacing w:lineRule="auto" w:line="276"/>
        <w:rPr>
          <w:rFonts w:ascii="Avenir Black" w:hAnsi="Avenir Black" w:eastAsia="Avenir Next LT Pro" w:cs="Avenir Next LT Pro"/>
          <w:b/>
          <w:b/>
          <w:color w:val="4472C4" w:themeColor="accent1"/>
          <w:sz w:val="22"/>
          <w:szCs w:val="22"/>
        </w:rPr>
      </w:pPr>
      <w:r>
        <w:rPr>
          <w:rFonts w:eastAsia="Avenir Next LT Pro" w:cs="Avenir Next LT Pro" w:ascii="Avenir Black" w:hAnsi="Avenir Black"/>
          <w:b/>
          <w:color w:val="4472C4" w:themeColor="accent1"/>
          <w:sz w:val="22"/>
          <w:szCs w:val="22"/>
        </w:rPr>
        <w:t>1. Ausweitung des Anwendungsbereichs auf kleine und mittlere Unternehmen (KMU)</w:t>
      </w:r>
    </w:p>
    <w:p>
      <w:pPr>
        <w:pStyle w:val="Normal"/>
        <w:rPr>
          <w:rFonts w:ascii="Avenir Book" w:hAnsi="Avenir Book"/>
          <w:color w:val="5A5A5A"/>
          <w:sz w:val="20"/>
          <w:szCs w:val="20"/>
        </w:rPr>
      </w:pPr>
      <w:r>
        <w:rPr>
          <w:rFonts w:eastAsia="Avenir Next LT Pro" w:cs="Avenir Next LT Pro" w:ascii="Avenir Book" w:hAnsi="Avenir Book"/>
          <w:color w:val="5A5A5A"/>
          <w:sz w:val="20"/>
          <w:szCs w:val="20"/>
        </w:rPr>
        <w:t xml:space="preserve">Die Berichtspflicht sollte für alle Unternehmen gelten, für die auch die finanzielle Berichtspflicht gilt. </w:t>
      </w:r>
      <w:r>
        <w:rPr>
          <w:rFonts w:ascii="Avenir Book" w:hAnsi="Avenir Book"/>
          <w:color w:val="5A5A5A"/>
          <w:sz w:val="20"/>
          <w:szCs w:val="20"/>
        </w:rPr>
        <w:t>Angesichts der Nachhaltigkeitsherausforderungen, die vor uns liegen, besteht kein Grund, warum von einem Unternehmen eine "finanzielle", aber keine „nicht-finanzielle“ Nachhaltigkeits-Beri</w:t>
      </w:r>
      <w:bookmarkStart w:id="1" w:name="_GoBack"/>
      <w:bookmarkEnd w:id="1"/>
      <w:r>
        <w:rPr>
          <w:rFonts w:ascii="Avenir Book" w:hAnsi="Avenir Book"/>
          <w:color w:val="5A5A5A"/>
          <w:sz w:val="20"/>
          <w:szCs w:val="20"/>
        </w:rPr>
        <w:t>chterstattung verlangt werden sollte. Nach dem Vorschlag der EU-Kommission würden n</w:t>
      </w:r>
      <w:r>
        <w:rPr>
          <w:rFonts w:eastAsia="Avenir Next LT Pro" w:cs="Avenir Next LT Pro" w:ascii="Avenir Book" w:hAnsi="Avenir Book"/>
          <w:iCs/>
          <w:color w:val="5A5A5A"/>
          <w:sz w:val="20"/>
          <w:szCs w:val="20"/>
          <w:u w:val="none" w:color="5A5A5A"/>
        </w:rPr>
        <w:t>ur etwa 49.000 von 22,2 Millionen Unternehmen von der Gesetzgebung erfasst.</w:t>
      </w:r>
      <w:r>
        <w:rPr>
          <w:rStyle w:val="Funotenanker"/>
          <w:rStyle w:val="Funotenanker"/>
          <w:rFonts w:eastAsia="Avenir Next LT Pro" w:cs="Avenir Next LT Pro" w:ascii="Avenir Book" w:hAnsi="Avenir Book"/>
          <w:iCs/>
          <w:color w:val="5A5A5A"/>
          <w:sz w:val="20"/>
          <w:szCs w:val="20"/>
          <w:u w:val="none" w:color="535353"/>
          <w:lang w:val="en-US"/>
        </w:rPr>
        <w:footnoteReference w:id="4"/>
      </w:r>
      <w:r>
        <w:rPr>
          <w:rFonts w:ascii="Avenir Book" w:hAnsi="Avenir Book"/>
          <w:color w:val="5A5A5A"/>
          <w:sz w:val="20"/>
          <w:szCs w:val="20"/>
        </w:rPr>
        <w:t xml:space="preserve"> KMU schaffen zwei Drittel der Arbeitsplätze in der EU und produzieren mehr als die Hälfte des BIP. Es wäre unklug, die Hälfte des BIP inklusive Lieferketten aus der Pflicht der Nachhaltigkeitsberichterstattung zu entlassen.</w:t>
      </w:r>
    </w:p>
    <w:p>
      <w:pPr>
        <w:pStyle w:val="Normal"/>
        <w:rPr/>
      </w:pPr>
      <w:r>
        <w:rPr>
          <w:rFonts w:eastAsia="Avenir Next LT Pro" w:cs="Avenir Next LT Pro" w:ascii="Avenir Book" w:hAnsi="Avenir Book"/>
          <w:color w:val="5A5A5A"/>
          <w:sz w:val="20"/>
          <w:szCs w:val="20"/>
          <w:u w:val="none" w:color="889E33"/>
        </w:rPr>
        <w:t xml:space="preserve">Anstatt freiwillige Standards für KMU vorzuschlagen, sollte die EU </w:t>
      </w:r>
      <w:r>
        <w:rPr>
          <w:rFonts w:eastAsia="Avenir Next LT Pro" w:cs="Avenir Next LT Pro" w:ascii="Avenir Book" w:hAnsi="Avenir Book"/>
          <w:i/>
          <w:iCs/>
          <w:color w:val="5A5A5A"/>
          <w:sz w:val="20"/>
          <w:szCs w:val="20"/>
          <w:u w:val="none" w:color="889E33"/>
        </w:rPr>
        <w:t>verhältnismäßige</w:t>
      </w:r>
      <w:r>
        <w:rPr>
          <w:rFonts w:eastAsia="Avenir Next LT Pro" w:cs="Avenir Next LT Pro" w:ascii="Avenir Book" w:hAnsi="Avenir Book"/>
          <w:color w:val="5A5A5A"/>
          <w:sz w:val="20"/>
          <w:szCs w:val="20"/>
          <w:u w:val="none" w:color="889E33"/>
        </w:rPr>
        <w:t xml:space="preserve"> Berichtspflichten für kleinere Unternehmen definieren. Es gibt bereits einige breiter akzeptierte Standards, die auch für KMU geeignet sind und den Aufwand vertretbar halten.</w:t>
      </w:r>
    </w:p>
    <w:p>
      <w:pPr>
        <w:pStyle w:val="Normal"/>
        <w:spacing w:lineRule="auto" w:line="276"/>
        <w:rPr>
          <w:rFonts w:ascii="Avenir Book" w:hAnsi="Avenir Book" w:eastAsia="Avenir Next LT Pro" w:cs="Avenir Next LT Pro"/>
          <w:color w:val="5A5A5A"/>
          <w:sz w:val="20"/>
          <w:szCs w:val="20"/>
          <w:u w:val="none" w:color="889E33"/>
        </w:rPr>
      </w:pPr>
      <w:r>
        <w:rPr>
          <w:rFonts w:eastAsia="Avenir Next LT Pro" w:cs="Avenir Next LT Pro" w:ascii="Avenir Book" w:hAnsi="Avenir Book"/>
          <w:color w:val="5A5A5A"/>
          <w:sz w:val="20"/>
          <w:szCs w:val="20"/>
          <w:u w:val="none" w:color="889E33"/>
        </w:rPr>
      </w:r>
    </w:p>
    <w:p>
      <w:pPr>
        <w:pStyle w:val="Normal"/>
        <w:spacing w:lineRule="auto" w:line="276"/>
        <w:rPr/>
      </w:pPr>
      <w:r>
        <w:rPr>
          <w:rFonts w:eastAsia="Avenir Next LT Pro" w:cs="Avenir Next LT Pro" w:ascii="Avenir Black" w:hAnsi="Avenir Black"/>
          <w:b/>
          <w:color w:val="4472C4" w:themeColor="accent1"/>
          <w:sz w:val="22"/>
          <w:szCs w:val="22"/>
        </w:rPr>
        <w:t xml:space="preserve">2. Definition von ehrgeizigeren Standards durch Parlament und Rat, </w:t>
      </w:r>
      <w:r>
        <w:rPr>
          <w:rFonts w:eastAsia="Avenir Next LT Pro" w:cs="Avenir Next LT Pro" w:ascii="Avenir Black" w:hAnsi="Avenir Black"/>
          <w:b/>
          <w:color w:val="4472C4" w:themeColor="accent1"/>
          <w:sz w:val="22"/>
          <w:szCs w:val="22"/>
        </w:rPr>
        <w:t>insbesondere im Sozialbereich</w:t>
      </w:r>
    </w:p>
    <w:p>
      <w:pPr>
        <w:pStyle w:val="Normal"/>
        <w:rPr/>
      </w:pPr>
      <w:r>
        <w:rPr>
          <w:rFonts w:eastAsia="Avenir Next LT Pro" w:cs="Avenir Next LT Pro" w:ascii="Avenir Book" w:hAnsi="Avenir Book"/>
          <w:color w:val="5A5A5A"/>
          <w:sz w:val="20"/>
          <w:szCs w:val="20"/>
          <w:u w:val="none" w:color="889E33"/>
        </w:rPr>
        <w:t>Wir kritisieren, dass d</w:t>
      </w:r>
      <w:r>
        <w:rPr>
          <w:rFonts w:eastAsia="Avenir Next LT Pro" w:cs="Avenir Next LT Pro" w:ascii="Avenir Book" w:hAnsi="Avenir Book"/>
          <w:color w:val="5A5A5A"/>
          <w:sz w:val="20"/>
          <w:szCs w:val="20"/>
          <w:u w:val="none" w:color="5A5A5A"/>
        </w:rPr>
        <w:t>ie Kommission die Festlegung von konkreten Standards an private Stellen delegiert (EFRAQ). Menschenrechte, Klimastabilität, der Schutz der biologischen Vielfalt, Steuergerechtigkeit oder Lobbying sind aber keine Themen, die von privaten Standardsetzer*innen geregelt werden sollten. Stattdessen sollten das Europäische Parlament und der Rat die konkreten Berichtsinhalte auf Basis der ambitioniertesten Rahmenwerke bei allen ethischen und Nachhaltigkeitsthemen festlegen. Insbesondere die sozialen Standards müssen auch Themen wie die Begrenzung von Ungleichheit, De-Konzentration von Eigentum, Sanktionen gegen Steuervermeidung und Grenzen für Lobbying beinhalten.</w:t>
      </w:r>
    </w:p>
    <w:p>
      <w:pPr>
        <w:pStyle w:val="Normal"/>
        <w:rPr/>
      </w:pPr>
      <w:r>
        <w:rPr>
          <w:rFonts w:eastAsia="Avenir Next LT Pro" w:cs="Avenir Next LT Pro" w:ascii="Avenir Book" w:hAnsi="Avenir Book"/>
          <w:color w:val="5A5A5A"/>
          <w:sz w:val="20"/>
          <w:szCs w:val="20"/>
          <w:u w:val="none" w:color="5A5A5A"/>
        </w:rPr>
        <w:t>Eine Alternative könnte darin bestehen, dass die EU-Kommission eine “ESRAG” (European Sustainability Reporting Advisory Group) parallel zur EFRAG errichtet</w:t>
      </w:r>
      <w:r>
        <w:rPr>
          <w:rStyle w:val="Funotenanker"/>
          <w:rStyle w:val="Funotenanker"/>
          <w:rFonts w:eastAsia="Avenir Next LT Pro" w:cs="Avenir Next LT Pro" w:ascii="Avenir Book" w:hAnsi="Avenir Book"/>
          <w:color w:val="5A5A5A"/>
          <w:sz w:val="20"/>
          <w:szCs w:val="20"/>
          <w:u w:val="none" w:color="5A5A5A"/>
          <w:lang w:val="en-US"/>
        </w:rPr>
        <w:footnoteReference w:id="5"/>
      </w:r>
      <w:r>
        <w:rPr>
          <w:rFonts w:eastAsia="Avenir Next LT Pro" w:cs="Avenir Next LT Pro" w:ascii="Avenir Book" w:hAnsi="Avenir Book"/>
          <w:color w:val="5A5A5A"/>
          <w:sz w:val="20"/>
          <w:szCs w:val="20"/>
          <w:u w:val="none" w:color="5A5A5A"/>
        </w:rPr>
        <w:t>, welche Expert*innen aus unterschiedlichen Sozial- und Naturwissenschaften sowie Vertreter*innen von NGOs und Entwickler*innen von Berichtsrahmenwerken – wie z. B. GWÖ, GRI, Global Compact, B Corps, Future Fit Foundation, DNK u. a. – besetzt wird.</w:t>
      </w:r>
    </w:p>
    <w:p>
      <w:pPr>
        <w:pStyle w:val="Normal"/>
        <w:spacing w:lineRule="auto" w:line="276"/>
        <w:rPr>
          <w:rFonts w:ascii="Avenir Black" w:hAnsi="Avenir Black" w:eastAsia="Avenir Next LT Pro" w:cs="Avenir Next LT Pro"/>
          <w:b/>
          <w:b/>
          <w:color w:val="4472C4" w:themeColor="accent1"/>
          <w:sz w:val="22"/>
          <w:szCs w:val="22"/>
        </w:rPr>
      </w:pPr>
      <w:r>
        <w:rPr/>
      </w:r>
    </w:p>
    <w:p>
      <w:pPr>
        <w:pStyle w:val="Normal"/>
        <w:spacing w:lineRule="auto" w:line="276"/>
        <w:rPr/>
      </w:pPr>
      <w:r>
        <w:rPr>
          <w:rFonts w:eastAsia="Avenir Next LT Pro" w:cs="Avenir Next LT Pro" w:ascii="Avenir Black" w:hAnsi="Avenir Black"/>
          <w:b/>
          <w:color w:val="4472C4" w:themeColor="accent1"/>
          <w:sz w:val="22"/>
          <w:szCs w:val="22"/>
        </w:rPr>
        <w:t>3. Heranziehung vorbildlicher Berichtsrahmenwerke</w:t>
      </w:r>
    </w:p>
    <w:p>
      <w:pPr>
        <w:pStyle w:val="Normal"/>
        <w:rPr/>
      </w:pPr>
      <w:r>
        <w:rPr>
          <w:rFonts w:ascii="Avenir Book" w:hAnsi="Avenir Book"/>
          <w:color w:val="5A5A5A"/>
          <w:sz w:val="20"/>
          <w:szCs w:val="20"/>
        </w:rPr>
        <w:t>Berichtsrahmenwerke wie der DNK, die Zertifizierung zur B Corp, der Future Fit Foundation oder der Gemeinwohl-Ökonomie zeichnen sich durch vorbildliche Eigenschaften aus. Beispielsweise ermöglicht das vom EU-WSA gewürdigte GWÖ-System</w:t>
      </w:r>
      <w:r>
        <w:rPr>
          <w:rStyle w:val="Funotenanker"/>
          <w:rStyle w:val="Funotenanker"/>
          <w:rFonts w:eastAsia="Avenir Next LT Pro" w:cs="Avenir Next LT Pro" w:ascii="Avenir Book" w:hAnsi="Avenir Book"/>
          <w:color w:val="5A5A5A"/>
          <w:sz w:val="20"/>
          <w:szCs w:val="20"/>
          <w:u w:val="none" w:color="535353"/>
          <w:lang w:val="en-US"/>
        </w:rPr>
        <w:footnoteReference w:id="6"/>
      </w:r>
      <w:r>
        <w:rPr>
          <w:rFonts w:ascii="Avenir Book" w:hAnsi="Avenir Book"/>
          <w:color w:val="5A5A5A"/>
          <w:sz w:val="20"/>
          <w:szCs w:val="20"/>
        </w:rPr>
        <w:t xml:space="preserve"> die Messung der Umsetzung der SDGs der UNO, da alle 17 Ziele konkreten Zellen in der Gemeinwohl-Matrix zugeordnet werden können</w:t>
      </w:r>
      <w:r>
        <w:rPr>
          <w:rStyle w:val="Funotenanker"/>
          <w:rStyle w:val="Funotenanker"/>
          <w:rFonts w:ascii="Avenir Book" w:hAnsi="Avenir Book"/>
          <w:color w:val="5A5A5A"/>
          <w:sz w:val="20"/>
          <w:szCs w:val="20"/>
        </w:rPr>
        <w:footnoteReference w:id="7"/>
      </w:r>
      <w:r>
        <w:rPr>
          <w:rStyle w:val="Funotenanker"/>
          <w:rFonts w:ascii="Avenir Book" w:hAnsi="Avenir Book"/>
          <w:color w:val="5A5A5A"/>
          <w:sz w:val="20"/>
          <w:szCs w:val="20"/>
        </w:rPr>
        <w:t xml:space="preserve"> </w:t>
      </w:r>
      <w:r>
        <w:rPr>
          <w:rFonts w:ascii="Avenir Book" w:hAnsi="Avenir Book"/>
          <w:color w:val="5A5A5A"/>
          <w:sz w:val="20"/>
          <w:szCs w:val="20"/>
        </w:rPr>
        <w:t>- was ein SDG-Praxis-Handbuch für KMU der Universität Bremen bestätigt</w:t>
      </w:r>
      <w:r>
        <w:rPr>
          <w:rStyle w:val="Funotenanker"/>
          <w:rStyle w:val="Funotenanker"/>
          <w:rFonts w:ascii="Avenir Book" w:hAnsi="Avenir Book"/>
          <w:color w:val="5A5A5A"/>
          <w:sz w:val="20"/>
          <w:szCs w:val="20"/>
        </w:rPr>
        <w:footnoteReference w:id="8"/>
      </w:r>
      <w:r>
        <w:rPr>
          <w:rFonts w:ascii="Avenir Book" w:hAnsi="Avenir Book"/>
          <w:color w:val="5A5A5A"/>
          <w:sz w:val="20"/>
          <w:szCs w:val="20"/>
        </w:rPr>
        <w:t>. In einer vom Potsdamer Institute for Advanced Sustainability Studies (IASS) in Auftrag gegebenen und veröffentlichten Studie wurden zehn Anforderungen an den künftigen einheitlichen Rechtsstandard entwickelt</w:t>
      </w:r>
      <w:r>
        <w:rPr>
          <w:rStyle w:val="Funotenanker"/>
          <w:rStyle w:val="Funotenanker"/>
          <w:rFonts w:ascii="Avenir Book" w:hAnsi="Avenir Book"/>
          <w:color w:val="5A5A5A"/>
          <w:sz w:val="20"/>
          <w:szCs w:val="20"/>
        </w:rPr>
        <w:footnoteReference w:id="9"/>
      </w:r>
      <w:r>
        <w:rPr>
          <w:rFonts w:ascii="Avenir Book" w:hAnsi="Avenir Book"/>
          <w:color w:val="5A5A5A"/>
          <w:sz w:val="20"/>
          <w:szCs w:val="20"/>
        </w:rPr>
        <w:t>:</w:t>
      </w:r>
    </w:p>
    <w:p>
      <w:pPr>
        <w:pStyle w:val="Normal"/>
        <w:spacing w:lineRule="auto" w:line="276"/>
        <w:rPr>
          <w:rFonts w:ascii="Avenir Book" w:hAnsi="Avenir Book"/>
          <w:color w:val="5A5A5A"/>
          <w:sz w:val="20"/>
          <w:szCs w:val="20"/>
        </w:rPr>
      </w:pPr>
      <w:r>
        <w:rPr>
          <w:rFonts w:ascii="Avenir Book" w:hAnsi="Avenir Book"/>
          <w:color w:val="5A5A5A"/>
          <w:sz w:val="20"/>
          <w:szCs w:val="20"/>
        </w:rPr>
      </w:r>
    </w:p>
    <w:p>
      <w:pPr>
        <w:pStyle w:val="Normal"/>
        <w:rPr/>
      </w:pPr>
      <w:r>
        <w:rPr>
          <w:rFonts w:ascii="Avenir Book" w:hAnsi="Avenir Book"/>
          <w:color w:val="5A5A5A"/>
          <w:sz w:val="20"/>
          <w:szCs w:val="20"/>
        </w:rPr>
        <w:t>1. Transparenter Entwicklungsprozess</w:t>
        <w:tab/>
        <w:tab/>
        <w:t>6. Wirksamkeit</w:t>
      </w:r>
    </w:p>
    <w:p>
      <w:pPr>
        <w:pStyle w:val="Normal"/>
        <w:rPr/>
      </w:pPr>
      <w:r>
        <w:rPr>
          <w:rFonts w:ascii="Avenir Book" w:hAnsi="Avenir Book"/>
          <w:color w:val="5A5A5A"/>
          <w:sz w:val="20"/>
          <w:szCs w:val="20"/>
        </w:rPr>
        <w:t>2. Vollständigkeit</w:t>
        <w:tab/>
        <w:tab/>
        <w:tab/>
        <w:tab/>
        <w:tab/>
        <w:t>7. Externe Prüfung</w:t>
      </w:r>
    </w:p>
    <w:p>
      <w:pPr>
        <w:pStyle w:val="Normal"/>
        <w:rPr/>
      </w:pPr>
      <w:r>
        <w:rPr>
          <w:rFonts w:ascii="Avenir Book" w:hAnsi="Avenir Book"/>
          <w:color w:val="5A5A5A"/>
          <w:sz w:val="20"/>
          <w:szCs w:val="20"/>
        </w:rPr>
        <w:t>3. Praktikabilität für Anwender*innen</w:t>
        <w:tab/>
        <w:tab/>
        <w:t>8. Gesetzliche Verbindlichkeit</w:t>
      </w:r>
    </w:p>
    <w:p>
      <w:pPr>
        <w:pStyle w:val="Normal"/>
        <w:rPr/>
      </w:pPr>
      <w:r>
        <w:rPr>
          <w:rFonts w:ascii="Avenir Book" w:hAnsi="Avenir Book"/>
          <w:color w:val="5A5A5A"/>
          <w:sz w:val="20"/>
          <w:szCs w:val="20"/>
        </w:rPr>
        <w:t>4. Verständlichkeit für die Zielgruppen</w:t>
        <w:tab/>
        <w:tab/>
        <w:t>9. Knüpfung an rechtliche Anreize</w:t>
        <w:tab/>
      </w:r>
    </w:p>
    <w:p>
      <w:pPr>
        <w:pStyle w:val="Normal"/>
        <w:rPr/>
      </w:pPr>
      <w:r>
        <w:rPr>
          <w:rFonts w:ascii="Avenir Book" w:hAnsi="Avenir Book"/>
          <w:color w:val="5A5A5A"/>
          <w:sz w:val="20"/>
          <w:szCs w:val="20"/>
        </w:rPr>
        <w:t>5. Bewertbarkeit und Vergleichbarkeit</w:t>
        <w:tab/>
        <w:tab/>
        <w:t>10. Sichtbarkeit</w:t>
      </w:r>
    </w:p>
    <w:p>
      <w:pPr>
        <w:pStyle w:val="Normal"/>
        <w:rPr>
          <w:rFonts w:ascii="Avenir Book" w:hAnsi="Avenir Book"/>
          <w:color w:val="5A5A5A"/>
          <w:sz w:val="20"/>
          <w:szCs w:val="20"/>
        </w:rPr>
      </w:pPr>
      <w:r>
        <w:rPr>
          <w:rFonts w:ascii="Avenir Book" w:hAnsi="Avenir Book"/>
          <w:color w:val="5A5A5A"/>
          <w:sz w:val="20"/>
          <w:szCs w:val="20"/>
        </w:rPr>
      </w:r>
    </w:p>
    <w:p>
      <w:pPr>
        <w:pStyle w:val="Normal"/>
        <w:rPr/>
      </w:pPr>
      <w:r>
        <w:rPr>
          <w:rFonts w:ascii="Avenir Book" w:hAnsi="Avenir Book"/>
          <w:color w:val="5A5A5A"/>
          <w:sz w:val="20"/>
          <w:szCs w:val="20"/>
        </w:rPr>
        <w:t>Diese zehn Anforderungen sollten bei der Umsetzung der CSRD zur Orientierung dienen und vom Gesetzgeber empfohlene Rahmenwerke daran gemessen werden.</w:t>
      </w:r>
    </w:p>
    <w:p>
      <w:pPr>
        <w:pStyle w:val="Normal"/>
        <w:rPr>
          <w:rFonts w:ascii="Avenir Book" w:hAnsi="Avenir Book"/>
          <w:color w:val="5A5A5A"/>
          <w:sz w:val="20"/>
          <w:szCs w:val="20"/>
        </w:rPr>
      </w:pPr>
      <w:r>
        <w:rPr>
          <w:rFonts w:ascii="Avenir Book" w:hAnsi="Avenir Book"/>
          <w:color w:val="5A5A5A"/>
          <w:sz w:val="20"/>
          <w:szCs w:val="20"/>
        </w:rPr>
      </w:r>
    </w:p>
    <w:p>
      <w:pPr>
        <w:pStyle w:val="Normal"/>
        <w:spacing w:lineRule="auto" w:line="276"/>
        <w:rPr/>
      </w:pPr>
      <w:r>
        <w:rPr>
          <w:rFonts w:eastAsia="Avenir Next LT Pro" w:cs="Avenir Next LT Pro" w:ascii="Avenir Black" w:hAnsi="Avenir Black"/>
          <w:b/>
          <w:color w:val="4472C4" w:themeColor="accent1"/>
          <w:sz w:val="22"/>
          <w:szCs w:val="22"/>
        </w:rPr>
        <w:t>4. Messbarkeit und Vergleichbarkeit als wesentliche Anforderungen</w:t>
      </w:r>
    </w:p>
    <w:p>
      <w:pPr>
        <w:pStyle w:val="Normal"/>
        <w:rPr/>
      </w:pPr>
      <w:r>
        <w:rPr>
          <w:rFonts w:ascii="Avenir Book" w:hAnsi="Avenir Book"/>
          <w:color w:val="5A5A5A"/>
          <w:sz w:val="20"/>
          <w:szCs w:val="20"/>
        </w:rPr>
        <w:t>Nur wenn die Nachhaltigkeitsleistungen von Unternehmen vergleichbar sind, machen die entsprechenden Berichtspflichten Sinn für Verbraucher*innen, Investor*innen und politische Entscheidungsträger*innen, die ihre Konsum-, Investitions- und Politik-Entscheidungen auf verlässliche (geprüfte) Ergebnisse stützen können. Manche Standards haben eine Methodik entwickelt, die ethische Leistungen in Punkten quantifiziert und Nachhaltigkeitsberichte vergleichbar macht. Die Ergebnisse sollten sichtbar auf Produkten, Web-Seiten sowie in Unternehmensregistern aufscheinen, damit Konsument*innen, Investor*innen sich ein ganzheitliches Bild von Unternehmen machen und informierte Entscheidungen treffen können.</w:t>
      </w:r>
      <w:r>
        <w:rPr>
          <w:rFonts w:ascii="Avenir Book" w:hAnsi="Avenir Book"/>
          <w:b/>
          <w:bCs/>
          <w:color w:val="5A5A5A"/>
          <w:sz w:val="20"/>
          <w:szCs w:val="20"/>
        </w:rPr>
        <w:t xml:space="preserve"> </w:t>
      </w:r>
    </w:p>
    <w:p>
      <w:pPr>
        <w:pStyle w:val="Normal"/>
        <w:rPr>
          <w:rFonts w:ascii="Avenir Book" w:hAnsi="Avenir Book"/>
          <w:color w:val="5A5A5A"/>
          <w:sz w:val="20"/>
          <w:szCs w:val="20"/>
        </w:rPr>
      </w:pPr>
      <w:r>
        <w:rPr>
          <w:rFonts w:ascii="Avenir Book" w:hAnsi="Avenir Book"/>
          <w:color w:val="5A5A5A"/>
          <w:sz w:val="20"/>
          <w:szCs w:val="20"/>
        </w:rPr>
      </w:r>
    </w:p>
    <w:p>
      <w:pPr>
        <w:pStyle w:val="Normal"/>
        <w:spacing w:lineRule="auto" w:line="276"/>
        <w:rPr/>
      </w:pPr>
      <w:r>
        <w:rPr>
          <w:rFonts w:eastAsia="Avenir Next LT Pro" w:cs="Avenir Next LT Pro" w:ascii="Avenir Black" w:hAnsi="Avenir Black"/>
          <w:b/>
          <w:color w:val="4472C4" w:themeColor="accent1"/>
          <w:sz w:val="22"/>
          <w:szCs w:val="22"/>
        </w:rPr>
        <w:t>5. Gleichstellung finanzieller und nicht-finanzieller Berichterstattung</w:t>
      </w:r>
    </w:p>
    <w:p>
      <w:pPr>
        <w:pStyle w:val="Normal"/>
        <w:rPr/>
      </w:pPr>
      <w:r>
        <w:rPr>
          <w:rFonts w:eastAsia="Avenir Next LT Pro" w:cs="Avenir Next LT Pro" w:ascii="Avenir Book" w:hAnsi="Avenir Book"/>
          <w:color w:val="5A5A5A"/>
          <w:sz w:val="20"/>
          <w:szCs w:val="20"/>
          <w:u w:val="none" w:color="889E33"/>
        </w:rPr>
        <w:t xml:space="preserve">Nicht-finanzielle Informationen sollten mit finanziellen Informationen gleichgestellt werden, was Umfang, Prüfung, Vergleichbarkeit und Rechtsfolgen angeht. </w:t>
      </w:r>
      <w:r>
        <w:rPr>
          <w:rFonts w:eastAsia="Avenir Next LT Pro" w:cs="Avenir Next LT Pro" w:ascii="Avenir Book" w:hAnsi="Avenir Book"/>
          <w:color w:val="5A5A5A"/>
          <w:sz w:val="20"/>
          <w:szCs w:val="20"/>
          <w:u w:val="none" w:color="5A5A5A"/>
        </w:rPr>
        <w:t>Es braucht</w:t>
      </w:r>
      <w:r>
        <w:rPr>
          <w:rFonts w:ascii="Avenir Book" w:hAnsi="Avenir Book"/>
          <w:color w:val="5A5A5A"/>
          <w:sz w:val="20"/>
          <w:szCs w:val="20"/>
        </w:rPr>
        <w:t xml:space="preserve"> die Transparenz über "nicht-finanzielle" Informationen und dass diese den finanziellen Informationen gleichgestellt werden - da ethische Informationen für alle Arten von Stakeholdern und die Öffentlichkeit in einer liberalen Demokratie zumindest nicht weniger wichtig sind als finanzielle Informationen. Die Inhalte von Nachhaltigkeitsberichten – gleich wie die Finanzberichte – sollten (zumindest ab einer gewissen Unternehmensgröße) extern auditiert und mit dem Prüfvermerk „hinreichende Sicherheit“ (reasonable assurance) versehen werden. Außerdem sollen die Auditor*innen von Nachhaltigkeitsberichten nicht einseitig in Accounting geschult sein, sondern vor allem Kompetenz in sozialen und ökologischen Themenfeldern nachweisen müssen.</w:t>
      </w:r>
    </w:p>
    <w:p>
      <w:pPr>
        <w:pStyle w:val="Normal"/>
        <w:rPr>
          <w:rFonts w:ascii="Avenir Black" w:hAnsi="Avenir Black" w:eastAsia="Avenir Next LT Pro" w:cs="Avenir Next LT Pro"/>
          <w:color w:val="889E33"/>
          <w:sz w:val="20"/>
          <w:szCs w:val="20"/>
        </w:rPr>
      </w:pPr>
      <w:r>
        <w:rPr>
          <w:rFonts w:eastAsia="Avenir Next LT Pro" w:cs="Avenir Next LT Pro" w:ascii="Avenir Black" w:hAnsi="Avenir Black"/>
          <w:color w:val="889E33"/>
          <w:sz w:val="20"/>
          <w:szCs w:val="20"/>
        </w:rPr>
      </w:r>
    </w:p>
    <w:p>
      <w:pPr>
        <w:pStyle w:val="Normal"/>
        <w:spacing w:lineRule="auto" w:line="276"/>
        <w:rPr/>
      </w:pPr>
      <w:r>
        <w:rPr>
          <w:rFonts w:eastAsia="Avenir Next LT Pro" w:cs="Avenir Next LT Pro" w:ascii="Avenir Black" w:hAnsi="Avenir Black"/>
          <w:b/>
          <w:color w:val="4472C4" w:themeColor="accent1"/>
          <w:sz w:val="22"/>
          <w:szCs w:val="22"/>
        </w:rPr>
        <w:t>6. Förderung nachhaltiger Unternehmen mit rechtlichen Anreizen</w:t>
      </w:r>
    </w:p>
    <w:p>
      <w:pPr>
        <w:pStyle w:val="Normal"/>
        <w:rPr/>
      </w:pPr>
      <w:r>
        <w:rPr>
          <w:rFonts w:eastAsia="Avenir Next LT Pro" w:cs="Avenir Next LT Pro" w:ascii="Avenir Book" w:hAnsi="Avenir Book"/>
          <w:color w:val="5A5A5A"/>
          <w:sz w:val="20"/>
          <w:szCs w:val="20"/>
          <w:u w:val="none" w:color="5A5A5A"/>
        </w:rPr>
        <w:t xml:space="preserve">Die Nachhaltigkeitsperformance von Unternehmen ist gesetzlich an rechtliche Anreize zu knüpfen, um die Marktkräfte für die Förderung gesellschaftlicher Werte und Ziele zu nützen und nachhaltigen und verantwortlichen Unternehmen einen Wettbewerbsvorteil zu verschaffen. An die </w:t>
      </w:r>
      <w:r>
        <w:rPr>
          <w:rFonts w:eastAsia="Avenir Next LT Pro" w:cs="Avenir Next LT Pro" w:ascii="Avenir Book" w:hAnsi="Avenir Book"/>
          <w:color w:val="5A5A5A"/>
          <w:sz w:val="20"/>
          <w:szCs w:val="20"/>
          <w:u w:val="none" w:color="889E33"/>
        </w:rPr>
        <w:t>Ergebnisse von quantifizierten und vergleichbaren Nachhaltigkeitsberichten sollten lokale, regionale und nationale Gesetzgeber rechtliche Anreize knüpfen können: von der öffentlichen Beschaffung und Wirtschaftsförderung über Steuern und Finanzierungen bis hin zum Marktzugang. Als Folge würden die Produkte und Dienstleistungen von nachhaltigen und verantwortlichen Unternehmen auf Märkten preisgünstiger als Produkte, die soziale und ökologische Schäden anrichten und dadurch Gesellschaften ärmer machen. Solche intelligenten Anreize würden die aktuelle kontraproduktive Schieflage korrigieren, dass die Externalisierung von Kosten zu einem Wettbewerbsvorteil auf Märkten führt.</w:t>
      </w:r>
    </w:p>
    <w:p>
      <w:pPr>
        <w:pStyle w:val="Normal"/>
        <w:rPr>
          <w:rFonts w:ascii="Avenir Black" w:hAnsi="Avenir Black" w:eastAsia="Avenir Next LT Pro" w:cs="Avenir Next LT Pro"/>
          <w:color w:val="889E33"/>
          <w:sz w:val="20"/>
          <w:szCs w:val="20"/>
        </w:rPr>
      </w:pPr>
      <w:r>
        <w:rPr>
          <w:rFonts w:eastAsia="Avenir Next LT Pro" w:cs="Avenir Next LT Pro" w:ascii="Avenir Black" w:hAnsi="Avenir Black"/>
          <w:color w:val="889E33"/>
          <w:sz w:val="20"/>
          <w:szCs w:val="20"/>
        </w:rPr>
      </w:r>
    </w:p>
    <w:p>
      <w:pPr>
        <w:pStyle w:val="Normal"/>
        <w:spacing w:lineRule="auto" w:line="276"/>
        <w:rPr/>
      </w:pPr>
      <w:r>
        <w:rPr>
          <w:rFonts w:eastAsia="Avenir Next LT Pro" w:cs="Avenir Next LT Pro" w:ascii="Avenir Black" w:hAnsi="Avenir Black"/>
          <w:b/>
          <w:color w:val="4472C4" w:themeColor="accent1"/>
          <w:sz w:val="22"/>
          <w:szCs w:val="22"/>
        </w:rPr>
        <w:t>Vorbereitung der Option eines Vorausgangs durch Österreich</w:t>
      </w:r>
    </w:p>
    <w:p>
      <w:pPr>
        <w:pStyle w:val="Normal"/>
        <w:rPr/>
      </w:pPr>
      <w:r>
        <w:rPr>
          <w:rFonts w:ascii="Avenir Book" w:hAnsi="Avenir Book"/>
          <w:color w:val="5A5A5A"/>
          <w:sz w:val="20"/>
          <w:szCs w:val="20"/>
        </w:rPr>
        <w:t xml:space="preserve">Sollten das EU-Parlament und der Rat diese Verbesserungsvorschläge nicht umsetzen, besteht die Möglichkeit, dass Österreich dies im Zuge der nationalen Umsetzung in Form eines Vorausgangs tut – im Verbund mit anderen EU-Mitgliedstaaten, die bereit sind, Zukunftsverantwortung zu übernehmen. Es gibt viele Menschen und Unternehmen, die nicht auf eine abermals revidierte EU-Richtlinie warten wollen – das Klima, die globalen Ökosysteme, Mensch und Gesellschaft brauchen *jetzt* eine verbindliche Mitverantwortungsübernahme durch die Unternehmen. Österreich könnte mit so einem Vorausgang seinen alternden </w:t>
      </w:r>
      <w:r>
        <w:rPr>
          <w:rFonts w:ascii="Avenir Heavy" w:hAnsi="Avenir Heavy"/>
          <w:b/>
          <w:bCs/>
          <w:color w:val="5A5A5A"/>
          <w:sz w:val="20"/>
          <w:szCs w:val="20"/>
        </w:rPr>
        <w:t>Ruf eines „Umweltvorreiters“</w:t>
      </w:r>
      <w:r>
        <w:rPr>
          <w:rFonts w:ascii="Avenir Book" w:hAnsi="Avenir Book"/>
          <w:color w:val="5A5A5A"/>
          <w:sz w:val="20"/>
          <w:szCs w:val="20"/>
        </w:rPr>
        <w:t xml:space="preserve"> erneuern, auf den die Welt schauen und der andere zum Nachahmen verleiten wird.</w:t>
      </w:r>
    </w:p>
    <w:p>
      <w:pPr>
        <w:pStyle w:val="Normal"/>
        <w:rPr>
          <w:rFonts w:ascii="Avenir Book" w:hAnsi="Avenir Book"/>
          <w:color w:val="5A5A5A"/>
          <w:sz w:val="20"/>
          <w:szCs w:val="20"/>
        </w:rPr>
      </w:pPr>
      <w:r>
        <w:rPr>
          <w:rFonts w:ascii="Avenir Book" w:hAnsi="Avenir Book"/>
          <w:color w:val="5A5A5A"/>
          <w:sz w:val="20"/>
          <w:szCs w:val="20"/>
        </w:rPr>
      </w:r>
    </w:p>
    <w:p>
      <w:pPr>
        <w:pStyle w:val="Normal"/>
        <w:rPr>
          <w:rFonts w:ascii="Avenir Book" w:hAnsi="Avenir Book"/>
          <w:color w:val="5A5A5A"/>
          <w:sz w:val="20"/>
          <w:szCs w:val="20"/>
        </w:rPr>
      </w:pPr>
      <w:r>
        <w:rPr>
          <w:rFonts w:ascii="Avenir Book" w:hAnsi="Avenir Book"/>
          <w:color w:val="5A5A5A"/>
          <w:sz w:val="20"/>
          <w:szCs w:val="20"/>
        </w:rPr>
      </w:r>
    </w:p>
    <w:p>
      <w:pPr>
        <w:pStyle w:val="Normal"/>
        <w:rPr>
          <w:rFonts w:ascii="Avenir Book" w:hAnsi="Avenir Book"/>
          <w:color w:val="5A5A5A"/>
          <w:sz w:val="20"/>
          <w:szCs w:val="20"/>
        </w:rPr>
      </w:pPr>
      <w:r>
        <w:rPr>
          <w:rFonts w:ascii="Avenir Book" w:hAnsi="Avenir Book"/>
          <w:color w:val="5A5A5A"/>
          <w:sz w:val="20"/>
          <w:szCs w:val="20"/>
        </w:rPr>
      </w:r>
    </w:p>
    <w:p>
      <w:pPr>
        <w:pStyle w:val="Default"/>
        <w:ind w:right="113" w:hanging="0"/>
        <w:jc w:val="both"/>
        <w:rPr/>
      </w:pPr>
      <w:r>
        <w:rPr>
          <w:rFonts w:ascii="Avenir" w:hAnsi="Avenir"/>
          <w:color w:val="5A5A5A"/>
          <w:sz w:val="28"/>
          <w:szCs w:val="28"/>
        </w:rPr>
        <w:t>UNTERZEICHNENDE</w:t>
      </w:r>
    </w:p>
    <w:p>
      <w:pPr>
        <w:pStyle w:val="Normal"/>
        <w:rPr>
          <w:rFonts w:ascii="Avenir Book" w:hAnsi="Avenir Book"/>
          <w:color w:val="5A5A5A"/>
          <w:sz w:val="20"/>
          <w:szCs w:val="20"/>
        </w:rPr>
      </w:pPr>
      <w:r>
        <w:rPr>
          <w:rFonts w:ascii="Avenir Book" w:hAnsi="Avenir Book"/>
          <w:color w:val="5A5A5A"/>
          <w:sz w:val="20"/>
          <w:szCs w:val="20"/>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sz w:val="24"/>
          <w:szCs w:val="24"/>
        </w:rPr>
      </w:pPr>
      <w:r>
        <w:rPr>
          <w:rFonts w:eastAsia="Avenir Next LT Pro" w:cs="Avenir Next LT Pro" w:ascii="Avenir Book" w:hAnsi="Avenir Book"/>
          <w:color w:val="5A5A5A"/>
          <w:sz w:val="24"/>
          <w:szCs w:val="24"/>
          <w:highlight w:val="yellow"/>
          <w:u w:val="none" w:color="5A5A5A"/>
        </w:rPr>
        <w:t>XXX YYY</w:t>
      </w:r>
      <w:r>
        <w:rPr>
          <w:rFonts w:eastAsia="Avenir Next LT Pro" w:cs="Avenir Next LT Pro" w:ascii="Avenir Book" w:hAnsi="Avenir Book"/>
          <w:color w:val="5A5A5A"/>
          <w:sz w:val="24"/>
          <w:szCs w:val="24"/>
          <w:u w:val="none" w:color="5A5A5A"/>
        </w:rPr>
        <w:t xml:space="preserve"> </w:t>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Avenir Book" w:hAnsi="Avenir Book" w:eastAsia="" w:eastAsiaTheme="minorEastAsia"/>
          <w:color w:val="889E33"/>
          <w:sz w:val="24"/>
          <w:szCs w:val="24"/>
        </w:rPr>
      </w:pPr>
      <w:r>
        <w:rPr>
          <w:rFonts w:eastAsia="" w:eastAsiaTheme="minorEastAsia" w:ascii="Avenir Book" w:hAnsi="Avenir Book"/>
          <w:color w:val="889E33"/>
          <w:sz w:val="24"/>
          <w:szCs w:val="24"/>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sz w:val="24"/>
          <w:szCs w:val="24"/>
        </w:rPr>
      </w:pPr>
      <w:r>
        <w:rPr>
          <w:rFonts w:eastAsia="" w:ascii="Avenir" w:hAnsi="Avenir" w:eastAsiaTheme="minorEastAsia"/>
          <w:color w:val="889E33"/>
          <w:sz w:val="24"/>
          <w:szCs w:val="24"/>
          <w:lang w:val="de-DE"/>
        </w:rPr>
        <w:t xml:space="preserve">Weitere Infos </w:t>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sz w:val="24"/>
          <w:szCs w:val="24"/>
        </w:rPr>
      </w:pPr>
      <w:r>
        <w:rPr>
          <w:rFonts w:eastAsia="" w:ascii="Avenir" w:hAnsi="Avenir" w:eastAsiaTheme="minorEastAsia"/>
          <w:color w:val="889E33"/>
          <w:sz w:val="24"/>
          <w:szCs w:val="24"/>
          <w:lang w:val="de-DE"/>
        </w:rPr>
        <w:t xml:space="preserve">Rückfragen </w:t>
      </w:r>
    </w:p>
    <w:p>
      <w:pPr>
        <w:pStyle w:val="Normal"/>
        <w:spacing w:lineRule="auto" w:line="276"/>
        <w:rPr>
          <w:rFonts w:ascii="Avenir Book" w:hAnsi="Avenir Book"/>
          <w:color w:val="5A5A5A"/>
        </w:rPr>
      </w:pPr>
      <w:r>
        <w:rPr>
          <w:sz w:val="24"/>
          <w:szCs w:val="24"/>
        </w:rPr>
      </w:r>
    </w:p>
    <w:sectPr>
      <w:headerReference w:type="default" r:id="rId2"/>
      <w:footnotePr>
        <w:numFmt w:val="decimal"/>
      </w:footnotePr>
      <w:type w:val="nextPage"/>
      <w:pgSz w:w="12240" w:h="15840"/>
      <w:pgMar w:left="1417" w:right="1417" w:header="1417" w:top="1700" w:footer="0" w:bottom="1230" w:gutter="0"/>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Avenir Light">
    <w:charset w:val="01"/>
    <w:family w:val="roman"/>
    <w:pitch w:val="variable"/>
  </w:font>
  <w:font w:name="Arial">
    <w:charset w:val="01"/>
    <w:family w:val="roman"/>
    <w:pitch w:val="variable"/>
  </w:font>
  <w:font w:name="Avenir">
    <w:charset w:val="01"/>
    <w:family w:val="roman"/>
    <w:pitch w:val="variable"/>
  </w:font>
  <w:font w:name="Avenir Book">
    <w:charset w:val="01"/>
    <w:family w:val="roman"/>
    <w:pitch w:val="variable"/>
  </w:font>
  <w:font w:name="Liberation Sans">
    <w:altName w:val="Arial"/>
    <w:charset w:val="01"/>
    <w:family w:val="roman"/>
    <w:pitch w:val="variable"/>
  </w:font>
  <w:font w:name="Helvetica Neue">
    <w:charset w:val="01"/>
    <w:family w:val="roman"/>
    <w:pitch w:val="variable"/>
  </w:font>
  <w:font w:name="Avenir Heavy">
    <w:charset w:val="01"/>
    <w:family w:val="roman"/>
    <w:pitch w:val="variable"/>
  </w:font>
  <w:font w:name="Avenir Medium">
    <w:charset w:val="01"/>
    <w:family w:val="roman"/>
    <w:pitch w:val="variable"/>
  </w:font>
  <w:font w:name="Avenir Black">
    <w:charset w:val="01"/>
    <w:family w:val="roman"/>
    <w:pitch w:val="variable"/>
  </w:font>
  <w:font w:name="Courier New">
    <w:charset w:val="01"/>
    <w:family w:val="auto"/>
    <w:pitch w:val="default"/>
  </w:font>
  <w:font w:name="Wingdings">
    <w:charset w:val="02"/>
    <w:family w:val="auto"/>
    <w:pitch w:val="default"/>
  </w:font>
  <w:font w:name="Symbol">
    <w:charset w:val="02"/>
    <w:family w:val="auto"/>
    <w:pitch w:val="default"/>
  </w:font>
  <w:font w:name="Avenir Book">
    <w:charset w:val="01"/>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unote"/>
        <w:rPr/>
      </w:pPr>
      <w:r>
        <w:rPr>
          <w:rStyle w:val="Funotenzeichen"/>
        </w:rPr>
        <w:footnoteRef/>
      </w:r>
      <w:r>
        <w:rPr>
          <w:rStyle w:val="FootnoteCharacters"/>
        </w:rPr>
        <w:tab/>
      </w:r>
      <w:r>
        <w:rPr>
          <w:rStyle w:val="FootnoteCharacters"/>
          <w:rFonts w:ascii="Avenir Book" w:hAnsi="Avenir Book"/>
          <w:color w:val="5A5A5A"/>
          <w:sz w:val="15"/>
          <w:szCs w:val="15"/>
        </w:rPr>
        <w:tab/>
      </w:r>
      <w:r>
        <w:rPr>
          <w:rFonts w:ascii="Avenir Book" w:hAnsi="Avenir Book"/>
          <w:color w:val="5A5A5A"/>
          <w:sz w:val="15"/>
          <w:szCs w:val="15"/>
        </w:rPr>
        <w:t xml:space="preserve"> </w:t>
      </w:r>
      <w:hyperlink r:id="rId1">
        <w:r>
          <w:rPr>
            <w:rStyle w:val="Internetverknpfung"/>
            <w:rFonts w:ascii="Avenir Book" w:hAnsi="Avenir Book"/>
            <w:color w:val="5A5A5A"/>
            <w:sz w:val="15"/>
            <w:szCs w:val="15"/>
            <w:lang w:val="en-GB"/>
          </w:rPr>
          <w:t>https://germanwatch.org/sites/default/files/Full%20Disclosure%202021-3_Reform%20of%20the%20EU%20Non-financial%20Reporting%20Directive.pdf</w:t>
        </w:r>
      </w:hyperlink>
      <w:r>
        <w:rPr>
          <w:rFonts w:ascii="Avenir Book" w:hAnsi="Avenir Book"/>
          <w:color w:val="5A5A5A"/>
          <w:sz w:val="15"/>
          <w:szCs w:val="15"/>
          <w:lang w:val="en-GB"/>
        </w:rPr>
        <w:t xml:space="preserve">  </w:t>
      </w:r>
    </w:p>
  </w:footnote>
  <w:footnote w:id="3">
    <w:p>
      <w:pPr>
        <w:pStyle w:val="Funote"/>
        <w:rPr/>
      </w:pPr>
      <w:r>
        <w:rPr>
          <w:rStyle w:val="Funotenzeichen"/>
        </w:rPr>
        <w:footnoteRef/>
      </w:r>
      <w:r>
        <w:rPr>
          <w:rStyle w:val="FootnoteCharacters"/>
        </w:rPr>
        <w:tab/>
      </w:r>
      <w:r>
        <w:rPr>
          <w:rStyle w:val="FootnoteCharacters"/>
          <w:rFonts w:ascii="Avenir Book" w:hAnsi="Avenir Book"/>
          <w:color w:val="5A5A5A"/>
          <w:sz w:val="15"/>
          <w:szCs w:val="15"/>
        </w:rPr>
        <w:tab/>
      </w:r>
      <w:r>
        <w:rPr>
          <w:rFonts w:ascii="Avenir Book" w:hAnsi="Avenir Book"/>
          <w:color w:val="5A5A5A"/>
          <w:sz w:val="15"/>
          <w:szCs w:val="15"/>
          <w:lang w:val="en-US"/>
        </w:rPr>
        <w:t xml:space="preserve"> European Commission: „EU Taxonomy, Corporate Sustainability Reporting, Sustainability Preferences and Fiduciary Duties: Directing finance towards the European Green Deal“, COM(2021)188, 14. April 2021, S. 10.</w:t>
      </w:r>
    </w:p>
  </w:footnote>
  <w:footnote w:id="4">
    <w:p>
      <w:pPr>
        <w:pStyle w:val="Funote"/>
        <w:rPr/>
      </w:pPr>
      <w:r>
        <w:rPr>
          <w:rStyle w:val="Funotenzeichen"/>
        </w:rPr>
        <w:footnoteRef/>
      </w:r>
      <w:r>
        <w:rPr>
          <w:rStyle w:val="FootnoteCharacters"/>
        </w:rPr>
        <w:tab/>
      </w:r>
      <w:r>
        <w:rPr>
          <w:rStyle w:val="FootnoteCharacters"/>
          <w:rFonts w:ascii="Avenir Book" w:hAnsi="Avenir Book"/>
          <w:color w:val="5A5A5A"/>
          <w:sz w:val="15"/>
          <w:szCs w:val="15"/>
        </w:rPr>
        <w:tab/>
      </w:r>
      <w:r>
        <w:rPr>
          <w:rFonts w:ascii="Avenir Book" w:hAnsi="Avenir Book"/>
          <w:color w:val="5A5A5A"/>
          <w:sz w:val="15"/>
          <w:szCs w:val="15"/>
          <w:lang w:val="en-US"/>
        </w:rPr>
        <w:t xml:space="preserve"> </w:t>
      </w:r>
      <w:hyperlink r:id="rId2">
        <w:r>
          <w:rPr>
            <w:rStyle w:val="Internetverknpfung"/>
            <w:rFonts w:ascii="Avenir Book" w:hAnsi="Avenir Book"/>
            <w:color w:val="5A5A5A"/>
            <w:sz w:val="15"/>
            <w:szCs w:val="15"/>
            <w:lang w:val="en-US"/>
          </w:rPr>
          <w:t>https://ec.europa.eu/eurostat/cache/digpub/european_economy/bloc-3b.html?lang=en%20and%20https://epthinktank.eu/figure19e28093keyfiguresonsmesintheeuropeanunion/</w:t>
        </w:r>
      </w:hyperlink>
      <w:r>
        <w:rPr>
          <w:rFonts w:ascii="Avenir Book" w:hAnsi="Avenir Book"/>
          <w:color w:val="5A5A5A"/>
          <w:sz w:val="15"/>
          <w:szCs w:val="15"/>
          <w:lang w:val="en-US"/>
        </w:rPr>
        <w:t xml:space="preserve"> </w:t>
      </w:r>
    </w:p>
  </w:footnote>
  <w:footnote w:id="5">
    <w:p>
      <w:pPr>
        <w:pStyle w:val="Funote"/>
        <w:rPr/>
      </w:pPr>
      <w:r>
        <w:rPr>
          <w:rStyle w:val="Funotenzeichen"/>
        </w:rPr>
        <w:footnoteRef/>
      </w:r>
      <w:r>
        <w:rPr>
          <w:rStyle w:val="FootnoteCharacters"/>
        </w:rPr>
        <w:tab/>
      </w:r>
      <w:r>
        <w:rPr>
          <w:rStyle w:val="FootnoteCharacters"/>
          <w:rFonts w:ascii="Avenir Book" w:hAnsi="Avenir Book"/>
          <w:color w:val="5A5A5A"/>
          <w:sz w:val="15"/>
          <w:szCs w:val="15"/>
        </w:rPr>
        <w:tab/>
      </w:r>
      <w:r>
        <w:rPr>
          <w:rFonts w:ascii="Avenir Book" w:hAnsi="Avenir Book"/>
          <w:color w:val="5A5A5A"/>
          <w:sz w:val="15"/>
          <w:szCs w:val="15"/>
        </w:rPr>
        <w:t xml:space="preserve"> S. a. </w:t>
      </w:r>
      <w:hyperlink r:id="rId3">
        <w:r>
          <w:rPr>
            <w:rStyle w:val="Internetverknpfung"/>
            <w:rFonts w:ascii="Avenir Book" w:hAnsi="Avenir Book"/>
            <w:sz w:val="15"/>
            <w:szCs w:val="15"/>
          </w:rPr>
          <w:t>https://sust4in.com/en/the-end-of-non-financial-reporting-and-the-quest-for-sustainability-standards/</w:t>
        </w:r>
      </w:hyperlink>
      <w:r>
        <w:rPr>
          <w:rFonts w:ascii="Avenir Book" w:hAnsi="Avenir Book"/>
          <w:sz w:val="15"/>
          <w:szCs w:val="15"/>
        </w:rPr>
        <w:t xml:space="preserve"> </w:t>
      </w:r>
    </w:p>
  </w:footnote>
  <w:footnote w:id="6">
    <w:p>
      <w:pPr>
        <w:pStyle w:val="Funote"/>
        <w:rPr/>
      </w:pPr>
      <w:r>
        <w:rPr>
          <w:rStyle w:val="Funotenzeichen"/>
        </w:rPr>
        <w:footnoteRef/>
      </w:r>
      <w:r>
        <w:rPr>
          <w:rStyle w:val="FootnoteCharacters"/>
        </w:rPr>
        <w:tab/>
      </w:r>
      <w:r>
        <w:rPr>
          <w:rStyle w:val="FootnoteCharacters"/>
          <w:rFonts w:ascii="Avenir Book" w:hAnsi="Avenir Book"/>
          <w:color w:val="5A5A5A"/>
          <w:sz w:val="15"/>
          <w:szCs w:val="15"/>
        </w:rPr>
        <w:tab/>
      </w:r>
      <w:r>
        <w:rPr>
          <w:rFonts w:ascii="Avenir Book" w:hAnsi="Avenir Book"/>
          <w:color w:val="5A5A5A"/>
          <w:sz w:val="15"/>
          <w:szCs w:val="15"/>
        </w:rPr>
        <w:t xml:space="preserve"> Der EWSA approbierte eine Stellungnahme zur GWÖ mit einer Stimmenmehrheit von 86%. </w:t>
        <w:br/>
        <w:t xml:space="preserve">Online: </w:t>
      </w:r>
      <w:hyperlink r:id="rId4">
        <w:r>
          <w:rPr>
            <w:rStyle w:val="Internetverknpfung"/>
            <w:rFonts w:ascii="Avenir Book" w:hAnsi="Avenir Book"/>
            <w:color w:val="5A5A5A"/>
            <w:sz w:val="15"/>
            <w:szCs w:val="15"/>
          </w:rPr>
          <w:t>https://www.eesc.europa.eu/our-work/opinions-information-reports/opinions/economy-common-good</w:t>
        </w:r>
      </w:hyperlink>
      <w:r>
        <w:rPr>
          <w:rFonts w:ascii="Avenir Book" w:hAnsi="Avenir Book"/>
          <w:color w:val="5A5A5A"/>
          <w:sz w:val="15"/>
          <w:szCs w:val="15"/>
        </w:rPr>
        <w:t xml:space="preserve"> </w:t>
      </w:r>
    </w:p>
  </w:footnote>
  <w:footnote w:id="7">
    <w:p>
      <w:pPr>
        <w:pStyle w:val="Funote"/>
        <w:rPr/>
      </w:pPr>
      <w:r>
        <w:rPr>
          <w:rStyle w:val="Funotenzeichen"/>
        </w:rPr>
        <w:footnoteRef/>
      </w:r>
      <w:r>
        <w:rPr>
          <w:rStyle w:val="FootnoteCharacters"/>
        </w:rPr>
        <w:tab/>
      </w:r>
      <w:r>
        <w:rPr>
          <w:rStyle w:val="FootnoteCharacters"/>
          <w:rFonts w:ascii="Avenir Book" w:hAnsi="Avenir Book"/>
          <w:sz w:val="15"/>
          <w:szCs w:val="15"/>
        </w:rPr>
        <w:tab/>
        <w:t xml:space="preserve">  </w:t>
      </w:r>
      <w:hyperlink r:id="rId5">
        <w:r>
          <w:rPr>
            <w:rStyle w:val="Internetverknpfung"/>
            <w:rFonts w:ascii="Avenir Book" w:hAnsi="Avenir Book"/>
            <w:sz w:val="15"/>
            <w:szCs w:val="15"/>
          </w:rPr>
          <w:t>https://gwoe.17plus.org/en/</w:t>
        </w:r>
      </w:hyperlink>
    </w:p>
  </w:footnote>
  <w:footnote w:id="8">
    <w:p>
      <w:pPr>
        <w:pStyle w:val="Funote"/>
        <w:rPr/>
      </w:pPr>
      <w:r>
        <w:rPr>
          <w:rStyle w:val="Funotenzeichen"/>
        </w:rPr>
        <w:footnoteRef/>
      </w:r>
      <w:r>
        <w:rPr>
          <w:rStyle w:val="FootnoteCharacters"/>
        </w:rPr>
        <w:tab/>
      </w:r>
      <w:r>
        <w:rPr>
          <w:rStyle w:val="FootnoteCharacters"/>
          <w:rFonts w:ascii="Avenir Book" w:hAnsi="Avenir Book"/>
          <w:sz w:val="15"/>
          <w:szCs w:val="15"/>
        </w:rPr>
        <w:tab/>
        <w:t xml:space="preserve">  „Die SGGs für und durch KMU. Ein Leitfaden für KMU“, </w:t>
      </w:r>
      <w:hyperlink r:id="rId6">
        <w:r>
          <w:rPr>
            <w:rStyle w:val="FootnoteCharacters"/>
            <w:rFonts w:ascii="Avenir Book" w:hAnsi="Avenir Book"/>
            <w:sz w:val="15"/>
            <w:szCs w:val="15"/>
          </w:rPr>
          <w:t>Renn.Nord</w:t>
        </w:r>
      </w:hyperlink>
      <w:r>
        <w:rPr>
          <w:rStyle w:val="FootnoteCharacters"/>
          <w:rFonts w:ascii="Avenir Book" w:hAnsi="Avenir Book"/>
          <w:sz w:val="15"/>
          <w:szCs w:val="15"/>
        </w:rPr>
        <w:t>, Oktober 2018</w:t>
      </w:r>
      <w:r>
        <w:rPr>
          <w:rFonts w:ascii="Avenir Book" w:hAnsi="Avenir Book"/>
          <w:sz w:val="15"/>
          <w:szCs w:val="15"/>
        </w:rPr>
        <w:t xml:space="preserve">, S. 63. Online: </w:t>
      </w:r>
      <w:hyperlink r:id="rId7">
        <w:r>
          <w:rPr>
            <w:rStyle w:val="Internetverknpfung"/>
            <w:rFonts w:ascii="Avenir Book" w:hAnsi="Avenir Book"/>
            <w:sz w:val="15"/>
            <w:szCs w:val="15"/>
          </w:rPr>
          <w:t>https://www.renn-netzwerk.de/fileadmin/user_upload/nord/docs/materialien/SDG_KMU_Leitfaden_Okt2018.pdf</w:t>
        </w:r>
      </w:hyperlink>
    </w:p>
  </w:footnote>
  <w:footnote w:id="9">
    <w:p>
      <w:pPr>
        <w:pStyle w:val="Funote"/>
        <w:rPr/>
      </w:pPr>
      <w:r>
        <w:rPr>
          <w:rStyle w:val="Funotenzeichen"/>
        </w:rPr>
        <w:footnoteRef/>
      </w:r>
      <w:r>
        <w:rPr>
          <w:rStyle w:val="FootnoteCharacters"/>
        </w:rPr>
        <w:tab/>
      </w:r>
      <w:r>
        <w:rPr>
          <w:rStyle w:val="FootnoteCharacters"/>
          <w:rFonts w:ascii="Avenir Book" w:hAnsi="Avenir Book"/>
          <w:sz w:val="15"/>
          <w:szCs w:val="15"/>
        </w:rPr>
        <w:tab/>
        <w:t xml:space="preserve">  </w:t>
      </w:r>
      <w:hyperlink r:id="rId8">
        <w:r>
          <w:rPr>
            <w:rStyle w:val="LienInternet"/>
            <w:rFonts w:ascii="Avenir Book" w:hAnsi="Avenir Book"/>
            <w:sz w:val="15"/>
            <w:szCs w:val="15"/>
          </w:rPr>
          <w:t>https://www.iass-potsdam.de/en/news/creating-global-standard-sustainability-reporting</w:t>
        </w:r>
      </w:hyperlink>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Avenir Book" w:hAnsi="Avenir Book" w:cs="Avenir Book" w:hint="default"/>
        <w:sz w:val="20"/>
        <w:rFonts w:cs="Avenir Next LT Pro"/>
        <w:color w:val="5A5A5A"/>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de-AT"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e13b3"/>
    <w:pPr>
      <w:widowControl/>
      <w:bidi w:val="0"/>
      <w:jc w:val="left"/>
    </w:pPr>
    <w:rPr>
      <w:rFonts w:ascii="Calibri" w:hAnsi="Calibri" w:eastAsia="Calibri" w:cs="" w:asciiTheme="minorHAnsi" w:cstheme="minorBidi" w:eastAsiaTheme="minorHAnsi" w:hAnsiTheme="minorHAnsi"/>
      <w:color w:val="auto"/>
      <w:kern w:val="0"/>
      <w:sz w:val="24"/>
      <w:szCs w:val="24"/>
      <w:lang w:val="de-AT" w:eastAsia="en-US" w:bidi="ar-SA"/>
    </w:rPr>
  </w:style>
  <w:style w:type="paragraph" w:styleId="Berschrift1">
    <w:name w:val="Heading 1"/>
    <w:basedOn w:val="Normal"/>
    <w:uiPriority w:val="9"/>
    <w:qFormat/>
    <w:rsid w:val="00fa06d4"/>
    <w:pPr>
      <w:spacing w:beforeAutospacing="1" w:afterAutospacing="1"/>
      <w:outlineLvl w:val="0"/>
    </w:pPr>
    <w:rPr>
      <w:rFonts w:ascii="Times New Roman" w:hAnsi="Times New Roman" w:eastAsia="Times New Roman" w:cs="Times New Roman"/>
      <w:b/>
      <w:bCs/>
      <w:kern w:val="2"/>
      <w:sz w:val="48"/>
      <w:szCs w:val="48"/>
      <w:lang w:eastAsia="de-DE"/>
    </w:rPr>
  </w:style>
  <w:style w:type="paragraph" w:styleId="Berschrift2">
    <w:name w:val="Heading 2"/>
    <w:basedOn w:val="Normal"/>
    <w:next w:val="Normal"/>
    <w:uiPriority w:val="9"/>
    <w:semiHidden/>
    <w:unhideWhenUsed/>
    <w:qFormat/>
    <w:rsid w:val="0090118b"/>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lang w:eastAsia="de-DE"/>
    </w:rPr>
  </w:style>
  <w:style w:type="paragraph" w:styleId="Berschrift3">
    <w:name w:val="Heading 3"/>
    <w:basedOn w:val="Normal"/>
    <w:next w:val="Normal"/>
    <w:uiPriority w:val="9"/>
    <w:semiHidden/>
    <w:unhideWhenUsed/>
    <w:qFormat/>
    <w:rsid w:val="00ec54ff"/>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lang w:eastAsia="de-DE"/>
    </w:rPr>
  </w:style>
  <w:style w:type="character" w:styleId="DefaultParagraphFont" w:default="1">
    <w:name w:val="Default Paragraph Font"/>
    <w:uiPriority w:val="1"/>
    <w:semiHidden/>
    <w:unhideWhenUsed/>
    <w:qFormat/>
    <w:rPr/>
  </w:style>
  <w:style w:type="character" w:styleId="BERTITEL" w:customStyle="1">
    <w:name w:val="ÜBERTITEL"/>
    <w:basedOn w:val="DefaultParagraphFont"/>
    <w:uiPriority w:val="1"/>
    <w:qFormat/>
    <w:rsid w:val="0092327c"/>
    <w:rPr>
      <w:rFonts w:ascii="Avenir Light" w:hAnsi="Avenir Light"/>
      <w:color w:val="5A5A5A"/>
      <w:sz w:val="40"/>
      <w:szCs w:val="40"/>
      <w14:numSpacing w14:val="default"/>
    </w:rPr>
  </w:style>
  <w:style w:type="character" w:styleId="KopfzeileZchn" w:customStyle="1">
    <w:name w:val="Kopfzeile Zchn"/>
    <w:basedOn w:val="DefaultParagraphFont"/>
    <w:link w:val="Kopfzeile"/>
    <w:uiPriority w:val="99"/>
    <w:qFormat/>
    <w:rsid w:val="007e4827"/>
    <w:rPr/>
  </w:style>
  <w:style w:type="character" w:styleId="FuzeileZchn" w:customStyle="1">
    <w:name w:val="Fußzeile Zchn"/>
    <w:basedOn w:val="DefaultParagraphFont"/>
    <w:link w:val="Fuzeile"/>
    <w:uiPriority w:val="99"/>
    <w:qFormat/>
    <w:rsid w:val="007e4827"/>
    <w:rPr/>
  </w:style>
  <w:style w:type="character" w:styleId="PRESSEINFOZeichen" w:customStyle="1">
    <w:name w:val="PRESSEINFO Zeichen"/>
    <w:basedOn w:val="KopfzeileZchn"/>
    <w:link w:val="PRESSEINFO"/>
    <w:qFormat/>
    <w:rsid w:val="007e4827"/>
    <w:rPr>
      <w:rFonts w:ascii="Arial" w:hAnsi="Arial" w:eastAsia="" w:eastAsiaTheme="minorEastAsia"/>
      <w:color w:val="008181"/>
      <w:sz w:val="36"/>
      <w:szCs w:val="36"/>
      <w:lang w:val="de-DE"/>
    </w:rPr>
  </w:style>
  <w:style w:type="character" w:styleId="Internetverknpfung" w:customStyle="1">
    <w:name w:val="Internetverknüpfung"/>
    <w:basedOn w:val="DefaultParagraphFont"/>
    <w:uiPriority w:val="99"/>
    <w:unhideWhenUsed/>
    <w:rsid w:val="00063dd8"/>
    <w:rPr>
      <w:color w:val="0563C1" w:themeColor="hyperlink"/>
      <w:u w:val="single"/>
    </w:rPr>
  </w:style>
  <w:style w:type="character" w:styleId="UnresolvedMention" w:customStyle="1">
    <w:name w:val="Unresolved Mention"/>
    <w:basedOn w:val="DefaultParagraphFont"/>
    <w:uiPriority w:val="99"/>
    <w:semiHidden/>
    <w:unhideWhenUsed/>
    <w:qFormat/>
    <w:rsid w:val="007e4827"/>
    <w:rPr>
      <w:color w:val="605E5C"/>
      <w:shd w:fill="E1DFDD" w:val="clear"/>
    </w:rPr>
  </w:style>
  <w:style w:type="character" w:styleId="TextkrperZchn" w:customStyle="1">
    <w:name w:val="Textkörper Zchn"/>
    <w:basedOn w:val="DefaultParagraphFont"/>
    <w:link w:val="Textkrper"/>
    <w:qFormat/>
    <w:rsid w:val="00ac5111"/>
    <w:rPr>
      <w:rFonts w:ascii="Liberation Serif" w:hAnsi="Liberation Serif" w:eastAsia="WenQuanYi Micro Hei" w:cs="Lohit Devanagari"/>
      <w:kern w:val="2"/>
      <w:lang w:eastAsia="zh-CN" w:bidi="hi-IN"/>
    </w:rPr>
  </w:style>
  <w:style w:type="character" w:styleId="FollowedHyperlink">
    <w:name w:val="FollowedHyperlink"/>
    <w:basedOn w:val="DefaultParagraphFont"/>
    <w:uiPriority w:val="99"/>
    <w:semiHidden/>
    <w:unhideWhenUsed/>
    <w:qFormat/>
    <w:rsid w:val="00ac5111"/>
    <w:rPr>
      <w:color w:val="954F72" w:themeColor="followedHyperlink"/>
      <w:u w:val="single"/>
    </w:rPr>
  </w:style>
  <w:style w:type="character" w:styleId="Appleconvertedspace" w:customStyle="1">
    <w:name w:val="apple-converted-space"/>
    <w:basedOn w:val="DefaultParagraphFont"/>
    <w:qFormat/>
    <w:rsid w:val="00bd5a32"/>
    <w:rPr/>
  </w:style>
  <w:style w:type="character" w:styleId="SprechblasentextZchn" w:customStyle="1">
    <w:name w:val="Sprechblasentext Zchn"/>
    <w:basedOn w:val="DefaultParagraphFont"/>
    <w:link w:val="Sprechblasentext"/>
    <w:uiPriority w:val="99"/>
    <w:semiHidden/>
    <w:qFormat/>
    <w:rsid w:val="00de7bf5"/>
    <w:rPr>
      <w:rFonts w:ascii="Times New Roman" w:hAnsi="Times New Roman" w:eastAsia="Times New Roman" w:cs="Times New Roman"/>
      <w:sz w:val="18"/>
      <w:szCs w:val="18"/>
      <w:lang w:eastAsia="de-DE"/>
    </w:rPr>
  </w:style>
  <w:style w:type="character" w:styleId="Strong">
    <w:name w:val="Strong"/>
    <w:basedOn w:val="DefaultParagraphFont"/>
    <w:uiPriority w:val="22"/>
    <w:qFormat/>
    <w:rsid w:val="00fa06d4"/>
    <w:rPr>
      <w:b/>
      <w:bCs/>
    </w:rPr>
  </w:style>
  <w:style w:type="character" w:styleId="Berschrift1Zchn" w:customStyle="1">
    <w:name w:val="Überschrift 1 Zchn"/>
    <w:basedOn w:val="DefaultParagraphFont"/>
    <w:uiPriority w:val="9"/>
    <w:qFormat/>
    <w:rsid w:val="00fa06d4"/>
    <w:rPr>
      <w:rFonts w:ascii="Times New Roman" w:hAnsi="Times New Roman" w:eastAsia="Times New Roman" w:cs="Times New Roman"/>
      <w:b/>
      <w:bCs/>
      <w:kern w:val="2"/>
      <w:sz w:val="48"/>
      <w:szCs w:val="48"/>
      <w:lang w:eastAsia="de-DE"/>
    </w:rPr>
  </w:style>
  <w:style w:type="character" w:styleId="Berschrift3Zchn" w:customStyle="1">
    <w:name w:val="Überschrift 3 Zchn"/>
    <w:basedOn w:val="DefaultParagraphFont"/>
    <w:uiPriority w:val="9"/>
    <w:semiHidden/>
    <w:qFormat/>
    <w:rsid w:val="00ec54ff"/>
    <w:rPr>
      <w:rFonts w:ascii="Calibri Light" w:hAnsi="Calibri Light" w:eastAsia="" w:cs="" w:asciiTheme="majorHAnsi" w:cstheme="majorBidi" w:eastAsiaTheme="majorEastAsia" w:hAnsiTheme="majorHAnsi"/>
      <w:color w:val="1F3763" w:themeColor="accent1" w:themeShade="7f"/>
      <w:lang w:eastAsia="de-DE"/>
    </w:rPr>
  </w:style>
  <w:style w:type="character" w:styleId="Visuallyhidden" w:customStyle="1">
    <w:name w:val="visuallyhidden"/>
    <w:basedOn w:val="DefaultParagraphFont"/>
    <w:qFormat/>
    <w:rsid w:val="00ec54ff"/>
    <w:rPr/>
  </w:style>
  <w:style w:type="character" w:styleId="Beschriftung1" w:customStyle="1">
    <w:name w:val="Beschriftung1"/>
    <w:basedOn w:val="DefaultParagraphFont"/>
    <w:qFormat/>
    <w:rsid w:val="00ec54ff"/>
    <w:rPr/>
  </w:style>
  <w:style w:type="character" w:styleId="Copyright" w:customStyle="1">
    <w:name w:val="copyright"/>
    <w:basedOn w:val="DefaultParagraphFont"/>
    <w:qFormat/>
    <w:rsid w:val="00ec54ff"/>
    <w:rPr/>
  </w:style>
  <w:style w:type="character" w:styleId="Betont" w:customStyle="1">
    <w:name w:val="Betont"/>
    <w:basedOn w:val="DefaultParagraphFont"/>
    <w:uiPriority w:val="20"/>
    <w:qFormat/>
    <w:rsid w:val="00ec54ff"/>
    <w:rPr>
      <w:i/>
      <w:iCs/>
    </w:rPr>
  </w:style>
  <w:style w:type="character" w:styleId="Berschrift2Zchn" w:customStyle="1">
    <w:name w:val="Überschrift 2 Zchn"/>
    <w:basedOn w:val="DefaultParagraphFont"/>
    <w:uiPriority w:val="9"/>
    <w:semiHidden/>
    <w:qFormat/>
    <w:rsid w:val="0090118b"/>
    <w:rPr>
      <w:rFonts w:ascii="Calibri Light" w:hAnsi="Calibri Light" w:eastAsia="" w:cs="" w:asciiTheme="majorHAnsi" w:cstheme="majorBidi" w:eastAsiaTheme="majorEastAsia" w:hAnsiTheme="majorHAnsi"/>
      <w:color w:val="2F5496" w:themeColor="accent1" w:themeShade="bf"/>
      <w:sz w:val="26"/>
      <w:szCs w:val="26"/>
      <w:lang w:eastAsia="de-DE"/>
    </w:rPr>
  </w:style>
  <w:style w:type="character" w:styleId="None" w:customStyle="1">
    <w:name w:val="None"/>
    <w:qFormat/>
    <w:rsid w:val="00063dd8"/>
    <w:rPr/>
  </w:style>
  <w:style w:type="character" w:styleId="FunotentextZchn" w:customStyle="1">
    <w:name w:val="Fußnotentext Zchn"/>
    <w:basedOn w:val="DefaultParagraphFont"/>
    <w:link w:val="Funotentext"/>
    <w:uiPriority w:val="99"/>
    <w:qFormat/>
    <w:rsid w:val="00063dd8"/>
    <w:rPr>
      <w:rFonts w:ascii="Arial" w:hAnsi="Arial" w:eastAsia="Arial" w:cs="Arial"/>
      <w:color w:val="595959"/>
      <w:u w:val="none" w:color="595959"/>
    </w:rPr>
  </w:style>
  <w:style w:type="character" w:styleId="Funotenanker" w:customStyle="1">
    <w:name w:val="Fußnotenanker"/>
    <w:rsid w:val="00063dd8"/>
    <w:rPr>
      <w:vertAlign w:val="superscript"/>
    </w:rPr>
  </w:style>
  <w:style w:type="character" w:styleId="FootnoteCharacters">
    <w:name w:val="Footnote Characters"/>
    <w:qFormat/>
    <w:rPr/>
  </w:style>
  <w:style w:type="character" w:styleId="LienInternet" w:customStyle="1">
    <w:name w:val="Lien Internet"/>
    <w:basedOn w:val="DefaultParagraphFont"/>
    <w:qFormat/>
    <w:rsid w:val="00063dd8"/>
    <w:rPr>
      <w:color w:val="0563C1" w:themeColor="hyperlink"/>
      <w:u w:val="single"/>
    </w:rPr>
  </w:style>
  <w:style w:type="character" w:styleId="FunotentextZchn1" w:customStyle="1">
    <w:name w:val="Fußnotentext Zchn1"/>
    <w:basedOn w:val="DefaultParagraphFont"/>
    <w:uiPriority w:val="99"/>
    <w:semiHidden/>
    <w:qFormat/>
    <w:rsid w:val="00063dd8"/>
    <w:rPr>
      <w:sz w:val="20"/>
      <w:szCs w:val="20"/>
    </w:rPr>
  </w:style>
  <w:style w:type="character" w:styleId="ListLabel1" w:customStyle="1">
    <w:name w:val="ListLabel 1"/>
    <w:qFormat/>
    <w:rPr>
      <w:sz w:val="20"/>
    </w:rPr>
  </w:style>
  <w:style w:type="character" w:styleId="ListLabel2" w:customStyle="1">
    <w:name w:val="ListLabel 2"/>
    <w:qFormat/>
    <w:rPr>
      <w:sz w:val="20"/>
    </w:rPr>
  </w:style>
  <w:style w:type="character" w:styleId="ListLabel3" w:customStyle="1">
    <w:name w:val="ListLabel 3"/>
    <w:qFormat/>
    <w:rPr>
      <w:sz w:val="20"/>
    </w:rPr>
  </w:style>
  <w:style w:type="character" w:styleId="ListLabel4" w:customStyle="1">
    <w:name w:val="ListLabel 4"/>
    <w:qFormat/>
    <w:rPr>
      <w:sz w:val="20"/>
    </w:rPr>
  </w:style>
  <w:style w:type="character" w:styleId="ListLabel5" w:customStyle="1">
    <w:name w:val="ListLabel 5"/>
    <w:qFormat/>
    <w:rPr>
      <w:sz w:val="20"/>
    </w:rPr>
  </w:style>
  <w:style w:type="character" w:styleId="ListLabel6" w:customStyle="1">
    <w:name w:val="ListLabel 6"/>
    <w:qFormat/>
    <w:rPr>
      <w:sz w:val="20"/>
    </w:rPr>
  </w:style>
  <w:style w:type="character" w:styleId="ListLabel7" w:customStyle="1">
    <w:name w:val="ListLabel 7"/>
    <w:qFormat/>
    <w:rPr>
      <w:sz w:val="20"/>
    </w:rPr>
  </w:style>
  <w:style w:type="character" w:styleId="ListLabel8" w:customStyle="1">
    <w:name w:val="ListLabel 8"/>
    <w:qFormat/>
    <w:rPr>
      <w:sz w:val="20"/>
    </w:rPr>
  </w:style>
  <w:style w:type="character" w:styleId="ListLabel9" w:customStyle="1">
    <w:name w:val="ListLabel 9"/>
    <w:qFormat/>
    <w:rPr>
      <w:sz w:val="20"/>
    </w:rPr>
  </w:style>
  <w:style w:type="character" w:styleId="ListLabel10" w:customStyle="1">
    <w:name w:val="ListLabel 10"/>
    <w:qFormat/>
    <w:rPr>
      <w:sz w:val="20"/>
    </w:rPr>
  </w:style>
  <w:style w:type="character" w:styleId="ListLabel11" w:customStyle="1">
    <w:name w:val="ListLabel 11"/>
    <w:qFormat/>
    <w:rPr>
      <w:sz w:val="20"/>
    </w:rPr>
  </w:style>
  <w:style w:type="character" w:styleId="ListLabel12" w:customStyle="1">
    <w:name w:val="ListLabel 12"/>
    <w:qFormat/>
    <w:rPr>
      <w:sz w:val="20"/>
    </w:rPr>
  </w:style>
  <w:style w:type="character" w:styleId="ListLabel13" w:customStyle="1">
    <w:name w:val="ListLabel 13"/>
    <w:qFormat/>
    <w:rPr>
      <w:sz w:val="20"/>
    </w:rPr>
  </w:style>
  <w:style w:type="character" w:styleId="ListLabel14" w:customStyle="1">
    <w:name w:val="ListLabel 14"/>
    <w:qFormat/>
    <w:rPr>
      <w:sz w:val="20"/>
    </w:rPr>
  </w:style>
  <w:style w:type="character" w:styleId="ListLabel15" w:customStyle="1">
    <w:name w:val="ListLabel 15"/>
    <w:qFormat/>
    <w:rPr>
      <w:sz w:val="20"/>
    </w:rPr>
  </w:style>
  <w:style w:type="character" w:styleId="ListLabel16" w:customStyle="1">
    <w:name w:val="ListLabel 16"/>
    <w:qFormat/>
    <w:rPr>
      <w:sz w:val="20"/>
    </w:rPr>
  </w:style>
  <w:style w:type="character" w:styleId="ListLabel17" w:customStyle="1">
    <w:name w:val="ListLabel 17"/>
    <w:qFormat/>
    <w:rPr>
      <w:sz w:val="20"/>
    </w:rPr>
  </w:style>
  <w:style w:type="character" w:styleId="ListLabel18" w:customStyle="1">
    <w:name w:val="ListLabel 18"/>
    <w:qFormat/>
    <w:rPr>
      <w:sz w:val="20"/>
    </w:rPr>
  </w:style>
  <w:style w:type="character" w:styleId="ListLabel19" w:customStyle="1">
    <w:name w:val="ListLabel 19"/>
    <w:qFormat/>
    <w:rPr>
      <w:sz w:val="20"/>
    </w:rPr>
  </w:style>
  <w:style w:type="character" w:styleId="ListLabel20" w:customStyle="1">
    <w:name w:val="ListLabel 20"/>
    <w:qFormat/>
    <w:rPr>
      <w:sz w:val="20"/>
    </w:rPr>
  </w:style>
  <w:style w:type="character" w:styleId="ListLabel21" w:customStyle="1">
    <w:name w:val="ListLabel 21"/>
    <w:qFormat/>
    <w:rPr>
      <w:sz w:val="20"/>
    </w:rPr>
  </w:style>
  <w:style w:type="character" w:styleId="ListLabel22" w:customStyle="1">
    <w:name w:val="ListLabel 22"/>
    <w:qFormat/>
    <w:rPr>
      <w:sz w:val="20"/>
    </w:rPr>
  </w:style>
  <w:style w:type="character" w:styleId="ListLabel23" w:customStyle="1">
    <w:name w:val="ListLabel 23"/>
    <w:qFormat/>
    <w:rPr>
      <w:sz w:val="20"/>
    </w:rPr>
  </w:style>
  <w:style w:type="character" w:styleId="ListLabel24" w:customStyle="1">
    <w:name w:val="ListLabel 24"/>
    <w:qFormat/>
    <w:rPr>
      <w:sz w:val="20"/>
    </w:rPr>
  </w:style>
  <w:style w:type="character" w:styleId="ListLabel25" w:customStyle="1">
    <w:name w:val="ListLabel 25"/>
    <w:qFormat/>
    <w:rPr>
      <w:sz w:val="20"/>
    </w:rPr>
  </w:style>
  <w:style w:type="character" w:styleId="ListLabel26" w:customStyle="1">
    <w:name w:val="ListLabel 26"/>
    <w:qFormat/>
    <w:rPr>
      <w:sz w:val="20"/>
    </w:rPr>
  </w:style>
  <w:style w:type="character" w:styleId="ListLabel27" w:customStyle="1">
    <w:name w:val="ListLabel 27"/>
    <w:qFormat/>
    <w:rPr>
      <w:sz w:val="20"/>
    </w:rPr>
  </w:style>
  <w:style w:type="character" w:styleId="ListLabel28" w:customStyle="1">
    <w:name w:val="ListLabel 28"/>
    <w:qFormat/>
    <w:rPr>
      <w:rFonts w:cs="Courier New"/>
    </w:rPr>
  </w:style>
  <w:style w:type="character" w:styleId="ListLabel29" w:customStyle="1">
    <w:name w:val="ListLabel 29"/>
    <w:qFormat/>
    <w:rPr>
      <w:rFonts w:cs="Courier New"/>
    </w:rPr>
  </w:style>
  <w:style w:type="character" w:styleId="ListLabel30" w:customStyle="1">
    <w:name w:val="ListLabel 30"/>
    <w:qFormat/>
    <w:rPr>
      <w:rFonts w:cs="Courier New"/>
    </w:rPr>
  </w:style>
  <w:style w:type="character" w:styleId="ListLabel31" w:customStyle="1">
    <w:name w:val="ListLabel 31"/>
    <w:qFormat/>
    <w:rPr>
      <w:color w:val="889E33"/>
    </w:rPr>
  </w:style>
  <w:style w:type="character" w:styleId="ListLabel32" w:customStyle="1">
    <w:name w:val="ListLabel 32"/>
    <w:qFormat/>
    <w:rPr>
      <w:rFonts w:cs="Courier New"/>
    </w:rPr>
  </w:style>
  <w:style w:type="character" w:styleId="ListLabel33" w:customStyle="1">
    <w:name w:val="ListLabel 33"/>
    <w:qFormat/>
    <w:rPr>
      <w:rFonts w:cs="Courier New"/>
    </w:rPr>
  </w:style>
  <w:style w:type="character" w:styleId="ListLabel34" w:customStyle="1">
    <w:name w:val="ListLabel 34"/>
    <w:qFormat/>
    <w:rPr>
      <w:rFonts w:cs="Courier New"/>
    </w:rPr>
  </w:style>
  <w:style w:type="character" w:styleId="ListLabel35" w:customStyle="1">
    <w:name w:val="ListLabel 35"/>
    <w:qFormat/>
    <w:rPr>
      <w:color w:val="889E33"/>
    </w:rPr>
  </w:style>
  <w:style w:type="character" w:styleId="ListLabel36" w:customStyle="1">
    <w:name w:val="ListLabel 36"/>
    <w:qFormat/>
    <w:rPr>
      <w:rFonts w:cs="Courier New"/>
    </w:rPr>
  </w:style>
  <w:style w:type="character" w:styleId="ListLabel37" w:customStyle="1">
    <w:name w:val="ListLabel 37"/>
    <w:qFormat/>
    <w:rPr>
      <w:rFonts w:cs="Courier New"/>
    </w:rPr>
  </w:style>
  <w:style w:type="character" w:styleId="ListLabel38" w:customStyle="1">
    <w:name w:val="ListLabel 38"/>
    <w:qFormat/>
    <w:rPr>
      <w:rFonts w:cs="Courier New"/>
    </w:rPr>
  </w:style>
  <w:style w:type="character" w:styleId="ListLabel39" w:customStyle="1">
    <w:name w:val="ListLabel 39"/>
    <w:qFormat/>
    <w:rPr>
      <w:color w:val="889E33"/>
    </w:rPr>
  </w:style>
  <w:style w:type="character" w:styleId="ListLabel40" w:customStyle="1">
    <w:name w:val="ListLabel 40"/>
    <w:qFormat/>
    <w:rPr>
      <w:rFonts w:cs="Courier New"/>
    </w:rPr>
  </w:style>
  <w:style w:type="character" w:styleId="ListLabel41" w:customStyle="1">
    <w:name w:val="ListLabel 41"/>
    <w:qFormat/>
    <w:rPr>
      <w:rFonts w:cs="Courier New"/>
    </w:rPr>
  </w:style>
  <w:style w:type="character" w:styleId="ListLabel42" w:customStyle="1">
    <w:name w:val="ListLabel 42"/>
    <w:qFormat/>
    <w:rPr>
      <w:rFonts w:cs="Courier New"/>
    </w:rPr>
  </w:style>
  <w:style w:type="character" w:styleId="ListLabel43" w:customStyle="1">
    <w:name w:val="ListLabel 43"/>
    <w:qFormat/>
    <w:rPr>
      <w:sz w:val="20"/>
    </w:rPr>
  </w:style>
  <w:style w:type="character" w:styleId="ListLabel44" w:customStyle="1">
    <w:name w:val="ListLabel 44"/>
    <w:qFormat/>
    <w:rPr>
      <w:sz w:val="20"/>
    </w:rPr>
  </w:style>
  <w:style w:type="character" w:styleId="ListLabel45" w:customStyle="1">
    <w:name w:val="ListLabel 45"/>
    <w:qFormat/>
    <w:rPr>
      <w:sz w:val="20"/>
    </w:rPr>
  </w:style>
  <w:style w:type="character" w:styleId="ListLabel46" w:customStyle="1">
    <w:name w:val="ListLabel 46"/>
    <w:qFormat/>
    <w:rPr>
      <w:sz w:val="20"/>
    </w:rPr>
  </w:style>
  <w:style w:type="character" w:styleId="ListLabel47" w:customStyle="1">
    <w:name w:val="ListLabel 47"/>
    <w:qFormat/>
    <w:rPr>
      <w:sz w:val="20"/>
    </w:rPr>
  </w:style>
  <w:style w:type="character" w:styleId="ListLabel48" w:customStyle="1">
    <w:name w:val="ListLabel 48"/>
    <w:qFormat/>
    <w:rPr>
      <w:sz w:val="20"/>
    </w:rPr>
  </w:style>
  <w:style w:type="character" w:styleId="ListLabel49" w:customStyle="1">
    <w:name w:val="ListLabel 49"/>
    <w:qFormat/>
    <w:rPr>
      <w:sz w:val="20"/>
    </w:rPr>
  </w:style>
  <w:style w:type="character" w:styleId="ListLabel50" w:customStyle="1">
    <w:name w:val="ListLabel 50"/>
    <w:qFormat/>
    <w:rPr>
      <w:sz w:val="20"/>
    </w:rPr>
  </w:style>
  <w:style w:type="character" w:styleId="ListLabel51" w:customStyle="1">
    <w:name w:val="ListLabel 51"/>
    <w:qFormat/>
    <w:rPr>
      <w:sz w:val="20"/>
    </w:rPr>
  </w:style>
  <w:style w:type="character" w:styleId="ListLabel52" w:customStyle="1">
    <w:name w:val="ListLabel 52"/>
    <w:qFormat/>
    <w:rPr>
      <w:sz w:val="20"/>
    </w:rPr>
  </w:style>
  <w:style w:type="character" w:styleId="ListLabel53" w:customStyle="1">
    <w:name w:val="ListLabel 53"/>
    <w:qFormat/>
    <w:rPr>
      <w:sz w:val="20"/>
    </w:rPr>
  </w:style>
  <w:style w:type="character" w:styleId="ListLabel54" w:customStyle="1">
    <w:name w:val="ListLabel 54"/>
    <w:qFormat/>
    <w:rPr>
      <w:sz w:val="20"/>
    </w:rPr>
  </w:style>
  <w:style w:type="character" w:styleId="ListLabel55" w:customStyle="1">
    <w:name w:val="ListLabel 55"/>
    <w:qFormat/>
    <w:rPr>
      <w:sz w:val="20"/>
    </w:rPr>
  </w:style>
  <w:style w:type="character" w:styleId="ListLabel56" w:customStyle="1">
    <w:name w:val="ListLabel 56"/>
    <w:qFormat/>
    <w:rPr>
      <w:sz w:val="20"/>
    </w:rPr>
  </w:style>
  <w:style w:type="character" w:styleId="ListLabel57" w:customStyle="1">
    <w:name w:val="ListLabel 57"/>
    <w:qFormat/>
    <w:rPr>
      <w:sz w:val="20"/>
    </w:rPr>
  </w:style>
  <w:style w:type="character" w:styleId="ListLabel58" w:customStyle="1">
    <w:name w:val="ListLabel 58"/>
    <w:qFormat/>
    <w:rPr>
      <w:sz w:val="20"/>
    </w:rPr>
  </w:style>
  <w:style w:type="character" w:styleId="ListLabel59" w:customStyle="1">
    <w:name w:val="ListLabel 59"/>
    <w:qFormat/>
    <w:rPr>
      <w:sz w:val="20"/>
    </w:rPr>
  </w:style>
  <w:style w:type="character" w:styleId="ListLabel60" w:customStyle="1">
    <w:name w:val="ListLabel 60"/>
    <w:qFormat/>
    <w:rPr>
      <w:sz w:val="20"/>
    </w:rPr>
  </w:style>
  <w:style w:type="character" w:styleId="ListLabel61" w:customStyle="1">
    <w:name w:val="ListLabel 61"/>
    <w:qFormat/>
    <w:rPr>
      <w:sz w:val="20"/>
    </w:rPr>
  </w:style>
  <w:style w:type="character" w:styleId="ListLabel62" w:customStyle="1">
    <w:name w:val="ListLabel 62"/>
    <w:qFormat/>
    <w:rPr>
      <w:sz w:val="20"/>
    </w:rPr>
  </w:style>
  <w:style w:type="character" w:styleId="ListLabel63" w:customStyle="1">
    <w:name w:val="ListLabel 63"/>
    <w:qFormat/>
    <w:rPr>
      <w:sz w:val="20"/>
    </w:rPr>
  </w:style>
  <w:style w:type="character" w:styleId="ListLabel64" w:customStyle="1">
    <w:name w:val="ListLabel 64"/>
    <w:qFormat/>
    <w:rPr>
      <w:sz w:val="20"/>
    </w:rPr>
  </w:style>
  <w:style w:type="character" w:styleId="ListLabel65" w:customStyle="1">
    <w:name w:val="ListLabel 65"/>
    <w:qFormat/>
    <w:rPr>
      <w:sz w:val="20"/>
    </w:rPr>
  </w:style>
  <w:style w:type="character" w:styleId="ListLabel66" w:customStyle="1">
    <w:name w:val="ListLabel 66"/>
    <w:qFormat/>
    <w:rPr>
      <w:sz w:val="20"/>
    </w:rPr>
  </w:style>
  <w:style w:type="character" w:styleId="ListLabel67" w:customStyle="1">
    <w:name w:val="ListLabel 67"/>
    <w:qFormat/>
    <w:rPr>
      <w:sz w:val="20"/>
    </w:rPr>
  </w:style>
  <w:style w:type="character" w:styleId="ListLabel68" w:customStyle="1">
    <w:name w:val="ListLabel 68"/>
    <w:qFormat/>
    <w:rPr>
      <w:sz w:val="20"/>
    </w:rPr>
  </w:style>
  <w:style w:type="character" w:styleId="ListLabel69" w:customStyle="1">
    <w:name w:val="ListLabel 69"/>
    <w:qFormat/>
    <w:rPr>
      <w:sz w:val="20"/>
    </w:rPr>
  </w:style>
  <w:style w:type="character" w:styleId="ListLabel70" w:customStyle="1">
    <w:name w:val="ListLabel 70"/>
    <w:qFormat/>
    <w:rPr>
      <w:rFonts w:cs="Courier New"/>
    </w:rPr>
  </w:style>
  <w:style w:type="character" w:styleId="ListLabel71" w:customStyle="1">
    <w:name w:val="ListLabel 71"/>
    <w:qFormat/>
    <w:rPr>
      <w:rFonts w:cs="Courier New"/>
    </w:rPr>
  </w:style>
  <w:style w:type="character" w:styleId="ListLabel72" w:customStyle="1">
    <w:name w:val="ListLabel 72"/>
    <w:qFormat/>
    <w:rPr>
      <w:rFonts w:cs="Courier New"/>
    </w:rPr>
  </w:style>
  <w:style w:type="character" w:styleId="ListLabel73" w:customStyle="1">
    <w:name w:val="ListLabel 73"/>
    <w:qFormat/>
    <w:rPr>
      <w:rFonts w:eastAsia="Times New Roman" w:cs="Helvetica"/>
    </w:rPr>
  </w:style>
  <w:style w:type="character" w:styleId="ListLabel74" w:customStyle="1">
    <w:name w:val="ListLabel 74"/>
    <w:qFormat/>
    <w:rPr>
      <w:rFonts w:cs="Courier New"/>
    </w:rPr>
  </w:style>
  <w:style w:type="character" w:styleId="ListLabel75" w:customStyle="1">
    <w:name w:val="ListLabel 75"/>
    <w:qFormat/>
    <w:rPr>
      <w:rFonts w:cs="Courier New"/>
    </w:rPr>
  </w:style>
  <w:style w:type="character" w:styleId="ListLabel76" w:customStyle="1">
    <w:name w:val="ListLabel 76"/>
    <w:qFormat/>
    <w:rPr>
      <w:rFonts w:cs="Courier New"/>
    </w:rPr>
  </w:style>
  <w:style w:type="character" w:styleId="ListLabel77" w:customStyle="1">
    <w:name w:val="ListLabel 77"/>
    <w:qFormat/>
    <w:rPr>
      <w:color w:val="889E33"/>
    </w:rPr>
  </w:style>
  <w:style w:type="character" w:styleId="ListLabel78" w:customStyle="1">
    <w:name w:val="ListLabel 78"/>
    <w:qFormat/>
    <w:rPr>
      <w:rFonts w:cs="Courier New"/>
    </w:rPr>
  </w:style>
  <w:style w:type="character" w:styleId="ListLabel79" w:customStyle="1">
    <w:name w:val="ListLabel 79"/>
    <w:qFormat/>
    <w:rPr>
      <w:rFonts w:cs="Courier New"/>
    </w:rPr>
  </w:style>
  <w:style w:type="character" w:styleId="ListLabel80" w:customStyle="1">
    <w:name w:val="ListLabel 80"/>
    <w:qFormat/>
    <w:rPr>
      <w:rFonts w:cs="Courier New"/>
    </w:rPr>
  </w:style>
  <w:style w:type="character" w:styleId="ListLabel81" w:customStyle="1">
    <w:name w:val="ListLabel 81"/>
    <w:qFormat/>
    <w:rPr>
      <w:sz w:val="20"/>
    </w:rPr>
  </w:style>
  <w:style w:type="character" w:styleId="ListLabel82" w:customStyle="1">
    <w:name w:val="ListLabel 82"/>
    <w:qFormat/>
    <w:rPr>
      <w:sz w:val="20"/>
    </w:rPr>
  </w:style>
  <w:style w:type="character" w:styleId="ListLabel83" w:customStyle="1">
    <w:name w:val="ListLabel 83"/>
    <w:qFormat/>
    <w:rPr>
      <w:sz w:val="20"/>
    </w:rPr>
  </w:style>
  <w:style w:type="character" w:styleId="ListLabel84" w:customStyle="1">
    <w:name w:val="ListLabel 84"/>
    <w:qFormat/>
    <w:rPr>
      <w:sz w:val="20"/>
    </w:rPr>
  </w:style>
  <w:style w:type="character" w:styleId="ListLabel85" w:customStyle="1">
    <w:name w:val="ListLabel 85"/>
    <w:qFormat/>
    <w:rPr>
      <w:sz w:val="20"/>
    </w:rPr>
  </w:style>
  <w:style w:type="character" w:styleId="ListLabel86" w:customStyle="1">
    <w:name w:val="ListLabel 86"/>
    <w:qFormat/>
    <w:rPr>
      <w:sz w:val="20"/>
    </w:rPr>
  </w:style>
  <w:style w:type="character" w:styleId="ListLabel87" w:customStyle="1">
    <w:name w:val="ListLabel 87"/>
    <w:qFormat/>
    <w:rPr>
      <w:sz w:val="20"/>
    </w:rPr>
  </w:style>
  <w:style w:type="character" w:styleId="ListLabel88" w:customStyle="1">
    <w:name w:val="ListLabel 88"/>
    <w:qFormat/>
    <w:rPr>
      <w:sz w:val="20"/>
    </w:rPr>
  </w:style>
  <w:style w:type="character" w:styleId="ListLabel89" w:customStyle="1">
    <w:name w:val="ListLabel 89"/>
    <w:qFormat/>
    <w:rPr>
      <w:sz w:val="20"/>
    </w:rPr>
  </w:style>
  <w:style w:type="character" w:styleId="ListLabel90" w:customStyle="1">
    <w:name w:val="ListLabel 90"/>
    <w:qFormat/>
    <w:rPr>
      <w:color w:val="889E33"/>
    </w:rPr>
  </w:style>
  <w:style w:type="character" w:styleId="ListLabel91" w:customStyle="1">
    <w:name w:val="ListLabel 91"/>
    <w:qFormat/>
    <w:rPr>
      <w:rFonts w:cs="Courier New"/>
    </w:rPr>
  </w:style>
  <w:style w:type="character" w:styleId="ListLabel92" w:customStyle="1">
    <w:name w:val="ListLabel 92"/>
    <w:qFormat/>
    <w:rPr>
      <w:rFonts w:cs="Courier New"/>
    </w:rPr>
  </w:style>
  <w:style w:type="character" w:styleId="ListLabel93" w:customStyle="1">
    <w:name w:val="ListLabel 93"/>
    <w:qFormat/>
    <w:rPr>
      <w:rFonts w:cs="Courier New"/>
    </w:rPr>
  </w:style>
  <w:style w:type="character" w:styleId="ListLabel94" w:customStyle="1">
    <w:name w:val="ListLabel 94"/>
    <w:qFormat/>
    <w:rPr>
      <w:rFonts w:cs="Courier New"/>
    </w:rPr>
  </w:style>
  <w:style w:type="character" w:styleId="ListLabel95" w:customStyle="1">
    <w:name w:val="ListLabel 95"/>
    <w:qFormat/>
    <w:rPr>
      <w:rFonts w:cs="Courier New"/>
    </w:rPr>
  </w:style>
  <w:style w:type="character" w:styleId="ListLabel96" w:customStyle="1">
    <w:name w:val="ListLabel 96"/>
    <w:qFormat/>
    <w:rPr>
      <w:rFonts w:cs="Courier New"/>
    </w:rPr>
  </w:style>
  <w:style w:type="character" w:styleId="ListLabel97" w:customStyle="1">
    <w:name w:val="ListLabel 97"/>
    <w:qFormat/>
    <w:rPr>
      <w:color w:val="889E33"/>
    </w:rPr>
  </w:style>
  <w:style w:type="character" w:styleId="ListLabel98" w:customStyle="1">
    <w:name w:val="ListLabel 98"/>
    <w:qFormat/>
    <w:rPr>
      <w:rFonts w:cs="Courier New"/>
    </w:rPr>
  </w:style>
  <w:style w:type="character" w:styleId="ListLabel99" w:customStyle="1">
    <w:name w:val="ListLabel 99"/>
    <w:qFormat/>
    <w:rPr>
      <w:rFonts w:cs="Courier New"/>
    </w:rPr>
  </w:style>
  <w:style w:type="character" w:styleId="ListLabel100" w:customStyle="1">
    <w:name w:val="ListLabel 100"/>
    <w:qFormat/>
    <w:rPr>
      <w:rFonts w:cs="Courier New"/>
    </w:rPr>
  </w:style>
  <w:style w:type="character" w:styleId="ListLabel101" w:customStyle="1">
    <w:name w:val="ListLabel 101"/>
    <w:qFormat/>
    <w:rPr>
      <w:rFonts w:cs="Courier New"/>
    </w:rPr>
  </w:style>
  <w:style w:type="character" w:styleId="ListLabel102" w:customStyle="1">
    <w:name w:val="ListLabel 102"/>
    <w:qFormat/>
    <w:rPr>
      <w:rFonts w:cs="Wingdings"/>
    </w:rPr>
  </w:style>
  <w:style w:type="character" w:styleId="ListLabel103" w:customStyle="1">
    <w:name w:val="ListLabel 103"/>
    <w:qFormat/>
    <w:rPr>
      <w:rFonts w:cs="Symbol"/>
    </w:rPr>
  </w:style>
  <w:style w:type="character" w:styleId="ListLabel104" w:customStyle="1">
    <w:name w:val="ListLabel 104"/>
    <w:qFormat/>
    <w:rPr>
      <w:rFonts w:cs="Courier New"/>
    </w:rPr>
  </w:style>
  <w:style w:type="character" w:styleId="ListLabel105" w:customStyle="1">
    <w:name w:val="ListLabel 105"/>
    <w:qFormat/>
    <w:rPr>
      <w:rFonts w:cs="Wingdings"/>
    </w:rPr>
  </w:style>
  <w:style w:type="character" w:styleId="ListLabel106" w:customStyle="1">
    <w:name w:val="ListLabel 106"/>
    <w:qFormat/>
    <w:rPr>
      <w:rFonts w:cs="Symbol"/>
    </w:rPr>
  </w:style>
  <w:style w:type="character" w:styleId="ListLabel107" w:customStyle="1">
    <w:name w:val="ListLabel 107"/>
    <w:qFormat/>
    <w:rPr>
      <w:rFonts w:cs="Courier New"/>
    </w:rPr>
  </w:style>
  <w:style w:type="character" w:styleId="ListLabel108" w:customStyle="1">
    <w:name w:val="ListLabel 108"/>
    <w:qFormat/>
    <w:rPr>
      <w:rFonts w:cs="Wingdings"/>
    </w:rPr>
  </w:style>
  <w:style w:type="character" w:styleId="ListLabel109" w:customStyle="1">
    <w:name w:val="ListLabel 109"/>
    <w:qFormat/>
    <w:rPr>
      <w:rFonts w:ascii="Avenir" w:hAnsi="Avenir" w:eastAsia="" w:eastAsiaTheme="minorEastAsia"/>
      <w:sz w:val="18"/>
      <w:szCs w:val="18"/>
      <w:lang w:val="de-DE"/>
    </w:rPr>
  </w:style>
  <w:style w:type="character" w:styleId="Endnotenanker" w:customStyle="1">
    <w:name w:val="Endnotenanker"/>
    <w:rPr>
      <w:vertAlign w:val="superscript"/>
    </w:rPr>
  </w:style>
  <w:style w:type="character" w:styleId="EndnoteCharacters">
    <w:name w:val="Endnote Characters"/>
    <w:qFormat/>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ascii="Avenir Book" w:hAnsi="Avenir Book" w:eastAsia="Avenir Next LT Pro" w:cs="Avenir Next LT Pro"/>
      <w:color w:val="5A5A5A"/>
      <w:sz w:val="20"/>
    </w:rPr>
  </w:style>
  <w:style w:type="character" w:styleId="ListLabel119">
    <w:name w:val="ListLabel 119"/>
    <w:qFormat/>
    <w:rPr>
      <w:rFonts w:cs="Courier New"/>
    </w:rPr>
  </w:style>
  <w:style w:type="character" w:styleId="ListLabel120">
    <w:name w:val="ListLabel 120"/>
    <w:qFormat/>
    <w:rPr>
      <w:rFonts w:cs="Courier New"/>
    </w:rPr>
  </w:style>
  <w:style w:type="character" w:styleId="ListLabel121">
    <w:name w:val="ListLabel 121"/>
    <w:qFormat/>
    <w:rPr>
      <w:rFonts w:cs="Courier New"/>
    </w:rPr>
  </w:style>
  <w:style w:type="character" w:styleId="Funotenzeichen">
    <w:name w:val="Fußnotenzeichen"/>
    <w:qFormat/>
    <w:rPr/>
  </w:style>
  <w:style w:type="character" w:styleId="Endnotenzeichen">
    <w:name w:val="Endnotenzeichen"/>
    <w:qFormat/>
    <w:rPr/>
  </w:style>
  <w:style w:type="paragraph" w:styleId="Berschrift" w:customStyle="1">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link w:val="TextkrperZchn"/>
    <w:rsid w:val="00ac5111"/>
    <w:pPr>
      <w:suppressAutoHyphens w:val="true"/>
      <w:spacing w:lineRule="auto" w:line="288" w:before="0" w:after="140"/>
    </w:pPr>
    <w:rPr>
      <w:rFonts w:ascii="Liberation Serif" w:hAnsi="Liberation Serif" w:eastAsia="WenQuanYi Micro Hei" w:cs="Lohit Devanagari"/>
      <w:kern w:val="2"/>
      <w:lang w:eastAsia="zh-CN" w:bidi="hi-IN"/>
    </w:rPr>
  </w:style>
  <w:style w:type="paragraph" w:styleId="Liste">
    <w:name w:val="List"/>
    <w:basedOn w:val="Textkrper"/>
    <w:pPr/>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customStyle="1">
    <w:name w:val="Verzeichnis"/>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iCs/>
    </w:rPr>
  </w:style>
  <w:style w:type="paragraph" w:styleId="Kopfzeile">
    <w:name w:val="Header"/>
    <w:basedOn w:val="Normal"/>
    <w:link w:val="KopfzeileZchn"/>
    <w:uiPriority w:val="99"/>
    <w:unhideWhenUsed/>
    <w:rsid w:val="007e4827"/>
    <w:pPr>
      <w:tabs>
        <w:tab w:val="center" w:pos="4536" w:leader="none"/>
        <w:tab w:val="right" w:pos="9072" w:leader="none"/>
      </w:tabs>
    </w:pPr>
    <w:rPr>
      <w:rFonts w:ascii="Times New Roman" w:hAnsi="Times New Roman" w:eastAsia="Times New Roman" w:cs="Times New Roman"/>
      <w:lang w:eastAsia="de-DE"/>
    </w:rPr>
  </w:style>
  <w:style w:type="paragraph" w:styleId="Fuzeile">
    <w:name w:val="Footer"/>
    <w:basedOn w:val="Normal"/>
    <w:link w:val="FuzeileZchn"/>
    <w:uiPriority w:val="99"/>
    <w:unhideWhenUsed/>
    <w:rsid w:val="007e4827"/>
    <w:pPr>
      <w:tabs>
        <w:tab w:val="center" w:pos="4536" w:leader="none"/>
        <w:tab w:val="right" w:pos="9072" w:leader="none"/>
      </w:tabs>
    </w:pPr>
    <w:rPr>
      <w:rFonts w:ascii="Times New Roman" w:hAnsi="Times New Roman" w:eastAsia="Times New Roman" w:cs="Times New Roman"/>
      <w:lang w:eastAsia="de-DE"/>
    </w:rPr>
  </w:style>
  <w:style w:type="paragraph" w:styleId="PRESSEINFO" w:customStyle="1">
    <w:name w:val="PRESSEINFO"/>
    <w:basedOn w:val="Kopfzeile"/>
    <w:link w:val="PRESSEINFOZeichen"/>
    <w:qFormat/>
    <w:rsid w:val="007e4827"/>
    <w:pPr>
      <w:tabs>
        <w:tab w:val="center" w:pos="4153" w:leader="none"/>
        <w:tab w:val="right" w:pos="8306" w:leader="none"/>
      </w:tabs>
    </w:pPr>
    <w:rPr>
      <w:rFonts w:ascii="Arial" w:hAnsi="Arial" w:eastAsia="" w:eastAsiaTheme="minorEastAsia"/>
      <w:color w:val="008181"/>
      <w:sz w:val="36"/>
      <w:szCs w:val="36"/>
      <w:lang w:val="de-DE"/>
    </w:rPr>
  </w:style>
  <w:style w:type="paragraph" w:styleId="NormalWeb">
    <w:name w:val="Normal (Web)"/>
    <w:basedOn w:val="Normal"/>
    <w:uiPriority w:val="99"/>
    <w:unhideWhenUsed/>
    <w:qFormat/>
    <w:rsid w:val="00ac5111"/>
    <w:pPr>
      <w:spacing w:beforeAutospacing="1" w:afterAutospacing="1"/>
    </w:pPr>
    <w:rPr>
      <w:rFonts w:ascii="Times New Roman" w:hAnsi="Times New Roman" w:eastAsia="Times New Roman" w:cs="Times New Roman"/>
      <w:lang w:eastAsia="de-DE"/>
    </w:rPr>
  </w:style>
  <w:style w:type="paragraph" w:styleId="ListParagraph">
    <w:name w:val="List Paragraph"/>
    <w:basedOn w:val="Normal"/>
    <w:uiPriority w:val="34"/>
    <w:qFormat/>
    <w:rsid w:val="008c11ad"/>
    <w:pPr>
      <w:spacing w:before="0" w:after="0"/>
      <w:ind w:left="720" w:hanging="0"/>
      <w:contextualSpacing/>
    </w:pPr>
    <w:rPr>
      <w:rFonts w:ascii="Times New Roman" w:hAnsi="Times New Roman" w:eastAsia="Times New Roman" w:cs="Times New Roman"/>
      <w:lang w:eastAsia="de-DE"/>
    </w:rPr>
  </w:style>
  <w:style w:type="paragraph" w:styleId="BalloonText">
    <w:name w:val="Balloon Text"/>
    <w:basedOn w:val="Normal"/>
    <w:link w:val="SprechblasentextZchn"/>
    <w:uiPriority w:val="99"/>
    <w:semiHidden/>
    <w:unhideWhenUsed/>
    <w:qFormat/>
    <w:rsid w:val="00de7bf5"/>
    <w:pPr/>
    <w:rPr>
      <w:rFonts w:ascii="Times New Roman" w:hAnsi="Times New Roman" w:eastAsia="Times New Roman" w:cs="Times New Roman"/>
      <w:sz w:val="18"/>
      <w:szCs w:val="18"/>
      <w:lang w:eastAsia="de-DE"/>
    </w:rPr>
  </w:style>
  <w:style w:type="paragraph" w:styleId="ZFFPTZwiti" w:customStyle="1">
    <w:name w:val="ZFF_PT_Zwiti"/>
    <w:basedOn w:val="Normal"/>
    <w:qFormat/>
    <w:rsid w:val="00c51582"/>
    <w:pPr>
      <w:spacing w:lineRule="auto" w:line="360" w:before="120" w:after="120"/>
      <w:ind w:left="284" w:hanging="0"/>
    </w:pPr>
    <w:rPr>
      <w:rFonts w:ascii="Arial" w:hAnsi="Arial" w:eastAsia="Cambria" w:cs="Times New Roman"/>
      <w:b/>
      <w:sz w:val="20"/>
      <w:lang w:val="de-DE"/>
    </w:rPr>
  </w:style>
  <w:style w:type="paragraph" w:styleId="Default" w:customStyle="1">
    <w:name w:val="Default"/>
    <w:qFormat/>
    <w:rsid w:val="00063dd8"/>
    <w:pPr>
      <w:widowControl/>
      <w:bidi w:val="0"/>
      <w:jc w:val="left"/>
    </w:pPr>
    <w:rPr>
      <w:rFonts w:ascii="Helvetica Neue" w:hAnsi="Helvetica Neue" w:eastAsia="Helvetica Neue" w:cs="Helvetica Neue"/>
      <w:color w:val="000000"/>
      <w:kern w:val="0"/>
      <w:sz w:val="22"/>
      <w:szCs w:val="22"/>
      <w:lang w:val="de-DE" w:eastAsia="de-DE" w:bidi="ar-SA"/>
    </w:rPr>
  </w:style>
  <w:style w:type="paragraph" w:styleId="Funote">
    <w:name w:val="Footnote Text"/>
    <w:basedOn w:val="Normal"/>
    <w:link w:val="FunotentextZchn"/>
    <w:uiPriority w:val="99"/>
    <w:unhideWhenUsed/>
    <w:rsid w:val="00063dd8"/>
    <w:pPr/>
    <w:rPr>
      <w:rFonts w:ascii="Arial" w:hAnsi="Arial" w:eastAsia="Arial" w:cs="Arial"/>
      <w:color w:val="595959"/>
      <w:u w:val="none" w:color="595959"/>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39"/>
    <w:rsid w:val="00bd5a3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s://germanwatch.org/sites/default/files/Full Disclosure 2021-3_Reform of the EU Non-financial Reporting Directive.pdf" TargetMode="External"/><Relationship Id="rId2" Type="http://schemas.openxmlformats.org/officeDocument/2006/relationships/hyperlink" Target="https://ec.europa.eu/eurostat/cache/digpub/european_economy/bloc-3b.html?lang=en and https://epthinktank.eu/figure19e28093keyfiguresonsmesintheeuropeanunion/" TargetMode="External"/><Relationship Id="rId3" Type="http://schemas.openxmlformats.org/officeDocument/2006/relationships/hyperlink" Target="https://sust4in.com/en/the-end-of-non-financial-reporting-and-the-quest-for-sustainability-standards/" TargetMode="External"/><Relationship Id="rId4" Type="http://schemas.openxmlformats.org/officeDocument/2006/relationships/hyperlink" Target="https://www.eesc.europa.eu/our-work/opinions-information-reports/opinions/economy-common-good" TargetMode="External"/><Relationship Id="rId5" Type="http://schemas.openxmlformats.org/officeDocument/2006/relationships/hyperlink" Target="https://gwoe.17plus.org/en/" TargetMode="External"/><Relationship Id="rId6" Type="http://schemas.openxmlformats.org/officeDocument/2006/relationships/hyperlink" Target="https://www.renn-netzwerk.de/fileadmin/user_upload/nord/docs/materialien/SDG_KMU_Leitfaden_Okt2018.pdf" TargetMode="External"/><Relationship Id="rId7" Type="http://schemas.openxmlformats.org/officeDocument/2006/relationships/hyperlink" Target="https://www.renn-netzwerk.de/fileadmin/user_upload/nord/docs/materialien/SDG_KMU_Leitfaden_Okt2018.pdf" TargetMode="External"/><Relationship Id="rId8" Type="http://schemas.openxmlformats.org/officeDocument/2006/relationships/hyperlink" Target="https://www.iass-potsdam.de/en/news/creating-global-standard-sustainability-reporting" TargetMode="Externa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LibreOffice/6.0.7.3$Linux_X86_64 LibreOffice_project/00m0$Build-3</Application>
  <Pages>4</Pages>
  <Words>1361</Words>
  <Characters>10500</Characters>
  <CharactersWithSpaces>11839</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2021-05-28T09:53:00Z</dcterms:created>
  <dc:creator>Silvia PE</dc:creator>
  <dc:description/>
  <dc:language>de-AT</dc:language>
  <cp:lastModifiedBy/>
  <cp:lastPrinted>2021-05-24T14:46:00Z</cp:lastPrinted>
  <dcterms:modified xsi:type="dcterms:W3CDTF">2021-06-01T08:00:33Z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